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456" w:rsidRDefault="00F70456" w:rsidP="00F70456">
      <w:pPr>
        <w:bidi/>
        <w:spacing w:after="0" w:line="240" w:lineRule="auto"/>
        <w:ind w:left="284"/>
        <w:jc w:val="both"/>
        <w:rPr>
          <w:rFonts w:ascii="Arial" w:hAnsi="Arial" w:cs="Arial"/>
        </w:rPr>
      </w:pPr>
    </w:p>
    <w:p w:rsidR="00F70456" w:rsidRDefault="00F70456" w:rsidP="00F70456">
      <w:pPr>
        <w:bidi/>
        <w:spacing w:after="0" w:line="240" w:lineRule="auto"/>
        <w:ind w:left="284"/>
        <w:jc w:val="both"/>
        <w:rPr>
          <w:rFonts w:ascii="Arial" w:hAnsi="Arial" w:cs="Arial"/>
        </w:rPr>
      </w:pPr>
      <w:r w:rsidRPr="00F70456">
        <w:rPr>
          <w:rFonts w:ascii="Arial" w:hAnsi="Arial" w:cs="Arial"/>
          <w:b/>
          <w:bCs/>
          <w:sz w:val="24"/>
          <w:szCs w:val="24"/>
          <w:rtl/>
        </w:rPr>
        <w:t>قرار من وزير العدل مؤرخ في 22 أفريل 2016 يتعلق بتحديد سقف إنابة المحامين من قبل الهياكل العمومية</w:t>
      </w:r>
      <w:r>
        <w:rPr>
          <w:rFonts w:ascii="Arial" w:hAnsi="Arial" w:cs="Arial"/>
        </w:rPr>
        <w:t xml:space="preserve"> </w:t>
      </w:r>
    </w:p>
    <w:p w:rsidR="00F70456" w:rsidRDefault="00F70456" w:rsidP="00F70456">
      <w:pPr>
        <w:bidi/>
        <w:spacing w:after="0" w:line="240" w:lineRule="auto"/>
        <w:ind w:left="284"/>
        <w:jc w:val="both"/>
        <w:rPr>
          <w:rFonts w:ascii="Arial" w:hAnsi="Arial" w:cs="Arial"/>
          <w:rtl/>
        </w:rPr>
      </w:pPr>
    </w:p>
    <w:p w:rsidR="00F70456" w:rsidRPr="00F70456" w:rsidRDefault="00F70456" w:rsidP="00F70456">
      <w:pPr>
        <w:bidi/>
        <w:spacing w:after="0" w:line="240" w:lineRule="auto"/>
        <w:ind w:left="284"/>
        <w:jc w:val="both"/>
        <w:rPr>
          <w:rFonts w:ascii="Arial" w:hAnsi="Arial" w:cs="Arial"/>
        </w:rPr>
      </w:pPr>
    </w:p>
    <w:p w:rsidR="00F70456" w:rsidRPr="00F70456" w:rsidRDefault="00F70456" w:rsidP="00F70456">
      <w:pPr>
        <w:bidi/>
        <w:spacing w:after="0" w:line="240" w:lineRule="auto"/>
        <w:ind w:left="284"/>
        <w:jc w:val="both"/>
        <w:rPr>
          <w:rFonts w:ascii="Arial" w:hAnsi="Arial" w:cs="Arial"/>
        </w:rPr>
      </w:pPr>
      <w:r w:rsidRPr="00F70456">
        <w:rPr>
          <w:rFonts w:ascii="Arial" w:hAnsi="Arial" w:cs="Arial"/>
          <w:rtl/>
        </w:rPr>
        <w:t>إن وزير العدل،</w:t>
      </w:r>
    </w:p>
    <w:p w:rsidR="00F70456" w:rsidRPr="00F70456" w:rsidRDefault="00F70456" w:rsidP="00F70456">
      <w:pPr>
        <w:bidi/>
        <w:spacing w:after="0" w:line="240" w:lineRule="auto"/>
        <w:ind w:left="284"/>
        <w:jc w:val="both"/>
        <w:rPr>
          <w:rFonts w:ascii="Arial" w:hAnsi="Arial" w:cs="Arial"/>
        </w:rPr>
      </w:pPr>
    </w:p>
    <w:p w:rsidR="00F70456" w:rsidRPr="00F70456" w:rsidRDefault="00F70456" w:rsidP="00F70456">
      <w:pPr>
        <w:bidi/>
        <w:spacing w:after="0" w:line="240" w:lineRule="auto"/>
        <w:ind w:left="284"/>
        <w:jc w:val="both"/>
        <w:rPr>
          <w:rFonts w:ascii="Arial" w:hAnsi="Arial" w:cs="Arial"/>
        </w:rPr>
      </w:pPr>
      <w:r w:rsidRPr="00F70456">
        <w:rPr>
          <w:rFonts w:ascii="Arial" w:hAnsi="Arial" w:cs="Arial"/>
          <w:rtl/>
        </w:rPr>
        <w:t>بعد الاطلاع على الدستور،</w:t>
      </w:r>
    </w:p>
    <w:p w:rsidR="00F70456" w:rsidRPr="00F70456" w:rsidRDefault="00F70456" w:rsidP="00F70456">
      <w:pPr>
        <w:bidi/>
        <w:spacing w:after="0" w:line="240" w:lineRule="auto"/>
        <w:ind w:left="284"/>
        <w:jc w:val="both"/>
        <w:rPr>
          <w:rFonts w:ascii="Arial" w:hAnsi="Arial" w:cs="Arial"/>
        </w:rPr>
      </w:pPr>
    </w:p>
    <w:p w:rsidR="00F70456" w:rsidRPr="00F70456" w:rsidRDefault="00F70456" w:rsidP="00F70456">
      <w:pPr>
        <w:bidi/>
        <w:spacing w:after="0" w:line="240" w:lineRule="auto"/>
        <w:ind w:left="284"/>
        <w:jc w:val="both"/>
        <w:rPr>
          <w:rFonts w:ascii="Arial" w:hAnsi="Arial" w:cs="Arial"/>
        </w:rPr>
      </w:pPr>
      <w:r w:rsidRPr="00F70456">
        <w:rPr>
          <w:rFonts w:ascii="Arial" w:hAnsi="Arial" w:cs="Arial"/>
          <w:rtl/>
        </w:rPr>
        <w:t xml:space="preserve">وعلى القانون عدد 65 لسنة 1998 المؤرخ في 20 جويلية 1998 المتعلق بالشركات المهنية للمحامين، </w:t>
      </w:r>
    </w:p>
    <w:p w:rsidR="00F70456" w:rsidRPr="00F70456" w:rsidRDefault="00F70456" w:rsidP="00F70456">
      <w:pPr>
        <w:bidi/>
        <w:spacing w:after="0" w:line="240" w:lineRule="auto"/>
        <w:ind w:left="284"/>
        <w:jc w:val="both"/>
        <w:rPr>
          <w:rFonts w:ascii="Arial" w:hAnsi="Arial" w:cs="Arial"/>
        </w:rPr>
      </w:pPr>
    </w:p>
    <w:p w:rsidR="00F70456" w:rsidRPr="00F70456" w:rsidRDefault="00F70456" w:rsidP="00F70456">
      <w:pPr>
        <w:bidi/>
        <w:spacing w:after="0" w:line="240" w:lineRule="auto"/>
        <w:ind w:left="284"/>
        <w:jc w:val="both"/>
        <w:rPr>
          <w:rFonts w:ascii="Arial" w:hAnsi="Arial" w:cs="Arial"/>
        </w:rPr>
      </w:pPr>
      <w:r w:rsidRPr="00F70456">
        <w:rPr>
          <w:rFonts w:ascii="Arial" w:hAnsi="Arial" w:cs="Arial"/>
          <w:rtl/>
        </w:rPr>
        <w:t>وعلى المرسوم عدد 79 لسنة 2011 المؤرخ في 20 أوت 2011 المتعلق بمهنة المحاماة،</w:t>
      </w:r>
    </w:p>
    <w:p w:rsidR="00F70456" w:rsidRPr="00F70456" w:rsidRDefault="00F70456" w:rsidP="00F70456">
      <w:pPr>
        <w:bidi/>
        <w:spacing w:after="0" w:line="240" w:lineRule="auto"/>
        <w:ind w:left="284"/>
        <w:jc w:val="both"/>
        <w:rPr>
          <w:rFonts w:ascii="Arial" w:hAnsi="Arial" w:cs="Arial"/>
        </w:rPr>
      </w:pPr>
    </w:p>
    <w:p w:rsidR="00F70456" w:rsidRPr="00F70456" w:rsidRDefault="00F70456" w:rsidP="00F70456">
      <w:pPr>
        <w:bidi/>
        <w:spacing w:after="0" w:line="240" w:lineRule="auto"/>
        <w:ind w:left="284"/>
        <w:jc w:val="both"/>
        <w:rPr>
          <w:rFonts w:ascii="Arial" w:hAnsi="Arial" w:cs="Arial"/>
        </w:rPr>
      </w:pPr>
      <w:r w:rsidRPr="00F70456">
        <w:rPr>
          <w:rFonts w:ascii="Arial" w:hAnsi="Arial" w:cs="Arial"/>
          <w:rtl/>
        </w:rPr>
        <w:t>وعلى الأمر عدد 764 لسنة 2014 المؤرخ في 28 جانفي 2014 المتعلق بضبط شروط وإجراءات تكليف المحامين بنيابة الهياكل العمومية لدى المحاكم والهيئات القضائية والإدارية والعسكرية والتعديلية والتحكيمية وخاصة الفصل 11 منه،</w:t>
      </w:r>
    </w:p>
    <w:p w:rsidR="00F70456" w:rsidRPr="00F70456" w:rsidRDefault="00F70456" w:rsidP="00F70456">
      <w:pPr>
        <w:bidi/>
        <w:spacing w:after="0" w:line="240" w:lineRule="auto"/>
        <w:ind w:left="284"/>
        <w:jc w:val="both"/>
        <w:rPr>
          <w:rFonts w:ascii="Arial" w:hAnsi="Arial" w:cs="Arial"/>
        </w:rPr>
      </w:pPr>
    </w:p>
    <w:p w:rsidR="00F70456" w:rsidRPr="00F70456" w:rsidRDefault="00F70456" w:rsidP="00F70456">
      <w:pPr>
        <w:bidi/>
        <w:spacing w:after="0" w:line="240" w:lineRule="auto"/>
        <w:ind w:left="284"/>
        <w:jc w:val="both"/>
        <w:rPr>
          <w:rFonts w:ascii="Arial" w:hAnsi="Arial" w:cs="Arial"/>
        </w:rPr>
      </w:pPr>
      <w:r w:rsidRPr="00F70456">
        <w:rPr>
          <w:rFonts w:ascii="Arial" w:hAnsi="Arial" w:cs="Arial"/>
          <w:rtl/>
        </w:rPr>
        <w:t>وعلى الأمر الرئاسي عدد 1 لسنة 2016 المؤرخ في 12 جانفي 2016 المتعلق بتسمية أعضاء للحكومة،</w:t>
      </w:r>
    </w:p>
    <w:p w:rsidR="00F70456" w:rsidRPr="00F70456" w:rsidRDefault="00F70456" w:rsidP="00F70456">
      <w:pPr>
        <w:bidi/>
        <w:spacing w:after="0" w:line="240" w:lineRule="auto"/>
        <w:ind w:left="284"/>
        <w:jc w:val="both"/>
        <w:rPr>
          <w:rFonts w:ascii="Arial" w:hAnsi="Arial" w:cs="Arial"/>
        </w:rPr>
      </w:pPr>
    </w:p>
    <w:p w:rsidR="00F70456" w:rsidRPr="00F70456" w:rsidRDefault="00F70456" w:rsidP="00F70456">
      <w:pPr>
        <w:bidi/>
        <w:spacing w:after="0" w:line="240" w:lineRule="auto"/>
        <w:ind w:left="284"/>
        <w:jc w:val="both"/>
        <w:rPr>
          <w:rFonts w:ascii="Arial" w:hAnsi="Arial" w:cs="Arial"/>
        </w:rPr>
      </w:pPr>
      <w:r w:rsidRPr="00F70456">
        <w:rPr>
          <w:rFonts w:ascii="Arial" w:hAnsi="Arial" w:cs="Arial"/>
          <w:rtl/>
        </w:rPr>
        <w:t>وعلى الأمر الحكومي عدد 271 لسنة 2016 المؤرخ في 2 مارس 2016 المتعلق بإحداث وزارة الوظيفة العمومية والحوكمة ومكافحة الفساد وإلحاق هياكل بها</w:t>
      </w:r>
      <w:r w:rsidRPr="00F70456">
        <w:rPr>
          <w:rFonts w:ascii="Arial" w:hAnsi="Arial" w:cs="Arial"/>
        </w:rPr>
        <w:t>.</w:t>
      </w:r>
    </w:p>
    <w:p w:rsidR="00F70456" w:rsidRPr="00F70456" w:rsidRDefault="00F70456" w:rsidP="00F70456">
      <w:pPr>
        <w:bidi/>
        <w:spacing w:after="0" w:line="240" w:lineRule="auto"/>
        <w:ind w:left="284"/>
        <w:jc w:val="both"/>
        <w:rPr>
          <w:rFonts w:ascii="Arial" w:hAnsi="Arial" w:cs="Arial"/>
        </w:rPr>
      </w:pPr>
    </w:p>
    <w:p w:rsidR="00F70456" w:rsidRPr="00F70456" w:rsidRDefault="00F70456" w:rsidP="00F70456">
      <w:pPr>
        <w:bidi/>
        <w:spacing w:after="0" w:line="240" w:lineRule="auto"/>
        <w:ind w:left="284"/>
        <w:jc w:val="both"/>
        <w:rPr>
          <w:rFonts w:ascii="Arial" w:hAnsi="Arial" w:cs="Arial"/>
        </w:rPr>
      </w:pPr>
      <w:r w:rsidRPr="00F70456">
        <w:rPr>
          <w:rFonts w:ascii="Arial" w:hAnsi="Arial" w:cs="Arial"/>
          <w:rtl/>
        </w:rPr>
        <w:t>قرر ما يلي</w:t>
      </w:r>
      <w:r w:rsidRPr="00F70456">
        <w:rPr>
          <w:rFonts w:ascii="Arial" w:hAnsi="Arial" w:cs="Arial"/>
        </w:rPr>
        <w:t xml:space="preserve"> :</w:t>
      </w:r>
    </w:p>
    <w:p w:rsidR="00F70456" w:rsidRPr="00F70456" w:rsidRDefault="00F70456" w:rsidP="00F70456">
      <w:pPr>
        <w:bidi/>
        <w:spacing w:after="0" w:line="240" w:lineRule="auto"/>
        <w:ind w:left="284"/>
        <w:jc w:val="both"/>
        <w:rPr>
          <w:rFonts w:ascii="Arial" w:hAnsi="Arial" w:cs="Arial"/>
        </w:rPr>
      </w:pPr>
    </w:p>
    <w:p w:rsidR="00F70456" w:rsidRPr="00F70456" w:rsidRDefault="00F70456" w:rsidP="00F70456">
      <w:pPr>
        <w:bidi/>
        <w:spacing w:after="0" w:line="240" w:lineRule="auto"/>
        <w:ind w:left="284"/>
        <w:jc w:val="both"/>
        <w:rPr>
          <w:rFonts w:ascii="Arial" w:hAnsi="Arial" w:cs="Arial"/>
        </w:rPr>
      </w:pPr>
      <w:r w:rsidRPr="00F70456">
        <w:rPr>
          <w:rFonts w:ascii="Arial" w:hAnsi="Arial" w:cs="Arial"/>
          <w:b/>
          <w:bCs/>
          <w:rtl/>
        </w:rPr>
        <w:t>الفصل الأول</w:t>
      </w:r>
      <w:r w:rsidRPr="00F70456">
        <w:rPr>
          <w:rFonts w:ascii="Arial" w:hAnsi="Arial" w:cs="Arial" w:hint="cs"/>
          <w:b/>
          <w:bCs/>
          <w:rtl/>
          <w:lang w:bidi="ar-TN"/>
        </w:rPr>
        <w:t xml:space="preserve"> </w:t>
      </w:r>
      <w:r w:rsidRPr="00F70456">
        <w:rPr>
          <w:rFonts w:ascii="Arial" w:hAnsi="Arial" w:cs="Arial"/>
          <w:b/>
          <w:bCs/>
          <w:rtl/>
          <w:lang w:bidi="ar-TN"/>
        </w:rPr>
        <w:t>–</w:t>
      </w:r>
      <w:r>
        <w:rPr>
          <w:rFonts w:ascii="Arial" w:hAnsi="Arial" w:cs="Arial" w:hint="cs"/>
          <w:rtl/>
          <w:lang w:bidi="ar-TN"/>
        </w:rPr>
        <w:t xml:space="preserve"> </w:t>
      </w:r>
      <w:r w:rsidRPr="00F70456">
        <w:rPr>
          <w:rFonts w:ascii="Arial" w:hAnsi="Arial" w:cs="Arial"/>
          <w:rtl/>
        </w:rPr>
        <w:t>يضبط هذا القرار سقف عدد الهياكل العمومية المسندة لكل محام أو شركة محاماة تطبيقا لمقتضيات الفصل 11 من الأمر عدد 764 لسنة 2014 المؤرخ في 28 جانفي 2014 المتعلق بضبط شروط وإجراءات تكليف المحامين بنيابة الهياكل العمومية لدى المحاكم والهيئات القضائية والإدارية والعسكرية والتعديلية والتحكيمية</w:t>
      </w:r>
      <w:r w:rsidRPr="00F70456">
        <w:rPr>
          <w:rFonts w:ascii="Arial" w:hAnsi="Arial" w:cs="Arial"/>
        </w:rPr>
        <w:t>.</w:t>
      </w:r>
    </w:p>
    <w:p w:rsidR="00F70456" w:rsidRPr="00F70456" w:rsidRDefault="00F70456" w:rsidP="00F70456">
      <w:pPr>
        <w:bidi/>
        <w:spacing w:after="0" w:line="240" w:lineRule="auto"/>
        <w:ind w:left="284"/>
        <w:jc w:val="both"/>
        <w:rPr>
          <w:rFonts w:ascii="Arial" w:hAnsi="Arial" w:cs="Arial"/>
        </w:rPr>
      </w:pPr>
    </w:p>
    <w:p w:rsidR="00F70456" w:rsidRPr="00F70456" w:rsidRDefault="00F70456" w:rsidP="00FC7DBD">
      <w:pPr>
        <w:bidi/>
        <w:spacing w:before="120" w:after="0" w:line="240" w:lineRule="auto"/>
        <w:ind w:left="284"/>
        <w:jc w:val="both"/>
        <w:rPr>
          <w:rFonts w:ascii="Arial" w:hAnsi="Arial" w:cs="Arial"/>
        </w:rPr>
      </w:pPr>
      <w:r w:rsidRPr="00F70456">
        <w:rPr>
          <w:rFonts w:ascii="Arial" w:hAnsi="Arial" w:cs="Arial"/>
          <w:b/>
          <w:bCs/>
          <w:rtl/>
        </w:rPr>
        <w:t xml:space="preserve">الفصل </w:t>
      </w:r>
      <w:r w:rsidRPr="00F70456">
        <w:rPr>
          <w:rFonts w:ascii="Arial" w:hAnsi="Arial" w:cs="Arial" w:hint="cs"/>
          <w:b/>
          <w:bCs/>
          <w:rtl/>
        </w:rPr>
        <w:t xml:space="preserve">2 </w:t>
      </w:r>
      <w:r w:rsidRPr="00F70456">
        <w:rPr>
          <w:rFonts w:ascii="Arial" w:hAnsi="Arial" w:cs="Arial"/>
          <w:b/>
          <w:bCs/>
          <w:rtl/>
        </w:rPr>
        <w:t>–</w:t>
      </w:r>
      <w:r w:rsidRPr="00F70456">
        <w:rPr>
          <w:rFonts w:ascii="Arial" w:hAnsi="Arial" w:cs="Arial"/>
          <w:rtl/>
        </w:rPr>
        <w:t xml:space="preserve"> مع مراعاة مقتضيات الفصلين 3 و4 من هذا القرار، لا يسند للمحامي المترشح أو لشركة المحاماة سوى هيكل عمومي واحد طيلة مدة التكليف التي اقتضاها الفصل التاسع من الأمر عدد 764 لسنة 2014 المذكور بالفصل المتقدم</w:t>
      </w:r>
      <w:r w:rsidRPr="00F70456">
        <w:rPr>
          <w:rFonts w:ascii="Arial" w:hAnsi="Arial" w:cs="Arial"/>
        </w:rPr>
        <w:t>.</w:t>
      </w:r>
    </w:p>
    <w:p w:rsidR="00F70456" w:rsidRPr="00F70456" w:rsidRDefault="00F70456" w:rsidP="00FC7DBD">
      <w:pPr>
        <w:bidi/>
        <w:spacing w:before="120" w:after="0" w:line="240" w:lineRule="auto"/>
        <w:ind w:left="284"/>
        <w:jc w:val="both"/>
        <w:rPr>
          <w:rFonts w:ascii="Arial" w:hAnsi="Arial" w:cs="Arial"/>
        </w:rPr>
      </w:pPr>
      <w:r w:rsidRPr="00F70456">
        <w:rPr>
          <w:rFonts w:ascii="Arial" w:hAnsi="Arial" w:cs="Arial"/>
          <w:rtl/>
        </w:rPr>
        <w:t>وبالنسبة لشركات المحاماة، تسند الإنابات باسم الممثل القانوني للشركة المعنية</w:t>
      </w:r>
      <w:r w:rsidRPr="00F70456">
        <w:rPr>
          <w:rFonts w:ascii="Arial" w:hAnsi="Arial" w:cs="Arial"/>
        </w:rPr>
        <w:t>.</w:t>
      </w:r>
    </w:p>
    <w:p w:rsidR="00F70456" w:rsidRPr="00F70456" w:rsidRDefault="00F70456" w:rsidP="00FC7DBD">
      <w:pPr>
        <w:bidi/>
        <w:spacing w:after="0" w:line="240" w:lineRule="auto"/>
        <w:ind w:left="284"/>
        <w:jc w:val="both"/>
        <w:rPr>
          <w:rFonts w:ascii="Arial" w:hAnsi="Arial" w:cs="Arial"/>
        </w:rPr>
      </w:pPr>
    </w:p>
    <w:p w:rsidR="00F70456" w:rsidRPr="00F70456" w:rsidRDefault="00F70456" w:rsidP="00FC7DBD">
      <w:pPr>
        <w:bidi/>
        <w:spacing w:after="0" w:line="240" w:lineRule="auto"/>
        <w:ind w:left="284"/>
        <w:jc w:val="both"/>
        <w:rPr>
          <w:rFonts w:ascii="Arial" w:hAnsi="Arial" w:cs="Arial"/>
        </w:rPr>
      </w:pPr>
      <w:r w:rsidRPr="00F70456">
        <w:rPr>
          <w:rFonts w:ascii="Arial" w:hAnsi="Arial" w:cs="Arial"/>
          <w:b/>
          <w:bCs/>
          <w:rtl/>
        </w:rPr>
        <w:t xml:space="preserve">الفصل </w:t>
      </w:r>
      <w:r w:rsidRPr="00F70456">
        <w:rPr>
          <w:rFonts w:ascii="Arial" w:hAnsi="Arial" w:cs="Arial" w:hint="cs"/>
          <w:b/>
          <w:bCs/>
          <w:rtl/>
        </w:rPr>
        <w:t xml:space="preserve">3 </w:t>
      </w:r>
      <w:r w:rsidRPr="00F70456">
        <w:rPr>
          <w:rFonts w:ascii="Arial" w:hAnsi="Arial" w:cs="Arial"/>
          <w:b/>
          <w:bCs/>
          <w:rtl/>
        </w:rPr>
        <w:t>–</w:t>
      </w:r>
      <w:r w:rsidRPr="00F70456">
        <w:rPr>
          <w:rFonts w:ascii="Arial" w:hAnsi="Arial" w:cs="Arial"/>
          <w:rtl/>
        </w:rPr>
        <w:t xml:space="preserve"> علاوة على التكليف المشار إليه بالفصل الثاني من هذا القرار، يمكن للمحامي أو لشركة المحاماة أن ينوب، بالإضافة إلى ذلك، واحدة من بين الهياكل العمومية التالية</w:t>
      </w:r>
      <w:r w:rsidRPr="00F70456">
        <w:rPr>
          <w:rFonts w:ascii="Arial" w:hAnsi="Arial" w:cs="Arial"/>
        </w:rPr>
        <w:t xml:space="preserve"> :</w:t>
      </w:r>
    </w:p>
    <w:p w:rsidR="00F70456" w:rsidRPr="00F70456" w:rsidRDefault="00F70456" w:rsidP="00FC7DBD">
      <w:pPr>
        <w:pStyle w:val="Paragraphedeliste"/>
        <w:numPr>
          <w:ilvl w:val="0"/>
          <w:numId w:val="17"/>
        </w:numPr>
        <w:bidi/>
        <w:spacing w:before="120" w:after="0" w:line="240" w:lineRule="auto"/>
        <w:ind w:left="927"/>
        <w:jc w:val="both"/>
        <w:rPr>
          <w:rFonts w:ascii="Arial" w:hAnsi="Arial" w:cs="Arial"/>
        </w:rPr>
      </w:pPr>
      <w:r w:rsidRPr="00F70456">
        <w:rPr>
          <w:rFonts w:ascii="Arial" w:hAnsi="Arial" w:cs="Arial"/>
          <w:rtl/>
        </w:rPr>
        <w:t>المؤسسات العمومية التي لا تكتسي صبغة إدارية على معنى الفصل 33 (سابعا) من القانون عدد 9 لسنة 1989 المؤرخ في أول فيفري 1989 المتعلق بالمساهمات والمنشآت والمؤسسات العمومية</w:t>
      </w:r>
      <w:r w:rsidRPr="00F70456">
        <w:rPr>
          <w:rFonts w:ascii="Arial" w:hAnsi="Arial" w:cs="Arial"/>
        </w:rPr>
        <w:t>.</w:t>
      </w:r>
    </w:p>
    <w:p w:rsidR="00F70456" w:rsidRPr="00F70456" w:rsidRDefault="00F70456" w:rsidP="00FC7DBD">
      <w:pPr>
        <w:pStyle w:val="Paragraphedeliste"/>
        <w:numPr>
          <w:ilvl w:val="0"/>
          <w:numId w:val="17"/>
        </w:numPr>
        <w:bidi/>
        <w:spacing w:before="120" w:after="0" w:line="240" w:lineRule="auto"/>
        <w:ind w:left="927"/>
        <w:jc w:val="both"/>
        <w:rPr>
          <w:rFonts w:ascii="Arial" w:hAnsi="Arial" w:cs="Arial"/>
        </w:rPr>
      </w:pPr>
      <w:r w:rsidRPr="00F70456">
        <w:rPr>
          <w:rFonts w:ascii="Arial" w:hAnsi="Arial" w:cs="Arial"/>
          <w:rtl/>
        </w:rPr>
        <w:t>المراكز الفنية في القطاعات الصناعية على معنى القانون عدد 123 لسنة 1994 المؤرخ في 28 نوفمبر 1994</w:t>
      </w:r>
      <w:r w:rsidRPr="00F70456">
        <w:rPr>
          <w:rFonts w:ascii="Arial" w:hAnsi="Arial" w:cs="Arial"/>
        </w:rPr>
        <w:t>.</w:t>
      </w:r>
    </w:p>
    <w:p w:rsidR="00F70456" w:rsidRPr="00F70456" w:rsidRDefault="00F70456" w:rsidP="00FC7DBD">
      <w:pPr>
        <w:pStyle w:val="Paragraphedeliste"/>
        <w:numPr>
          <w:ilvl w:val="0"/>
          <w:numId w:val="17"/>
        </w:numPr>
        <w:bidi/>
        <w:spacing w:before="120" w:after="0" w:line="240" w:lineRule="auto"/>
        <w:ind w:left="927"/>
        <w:jc w:val="both"/>
        <w:rPr>
          <w:rFonts w:ascii="Arial" w:hAnsi="Arial" w:cs="Arial"/>
        </w:rPr>
      </w:pPr>
      <w:r w:rsidRPr="00F70456">
        <w:rPr>
          <w:rFonts w:ascii="Arial" w:hAnsi="Arial" w:cs="Arial"/>
          <w:rtl/>
        </w:rPr>
        <w:t>المجامع المهنية المشتركة في قطاع الفلاحة والصناعات الغذائية على معنى القانون عدد 84 لسنة 1993 المؤرخ في 26 جويلية 1993 والذي تم تنقيحه بالقانون عدد 16 لسنة 2005 المؤرخ في 16 فيفري 2005</w:t>
      </w:r>
      <w:r w:rsidRPr="00F70456">
        <w:rPr>
          <w:rFonts w:ascii="Arial" w:hAnsi="Arial" w:cs="Arial"/>
        </w:rPr>
        <w:t>.</w:t>
      </w:r>
    </w:p>
    <w:p w:rsidR="00F70456" w:rsidRPr="00F70456" w:rsidRDefault="00F70456" w:rsidP="00FC7DBD">
      <w:pPr>
        <w:pStyle w:val="Paragraphedeliste"/>
        <w:numPr>
          <w:ilvl w:val="0"/>
          <w:numId w:val="17"/>
        </w:numPr>
        <w:bidi/>
        <w:spacing w:before="120" w:after="0" w:line="240" w:lineRule="auto"/>
        <w:ind w:left="927"/>
        <w:jc w:val="both"/>
        <w:rPr>
          <w:rFonts w:ascii="Arial" w:hAnsi="Arial" w:cs="Arial"/>
        </w:rPr>
      </w:pPr>
      <w:r w:rsidRPr="00F70456">
        <w:rPr>
          <w:rFonts w:ascii="Arial" w:hAnsi="Arial" w:cs="Arial"/>
          <w:rtl/>
        </w:rPr>
        <w:t>الجماعات المحلية على معنى القانون عدد 35 لسنة 1975 المؤرخ في 14 ماي 1975 المتعلق بالقانون الأساسي لميزانية الجماعات المحلية وعلى جميع النصوص التي نقحته وتممته</w:t>
      </w:r>
      <w:r w:rsidRPr="00F70456">
        <w:rPr>
          <w:rFonts w:ascii="Arial" w:hAnsi="Arial" w:cs="Arial"/>
        </w:rPr>
        <w:t>.</w:t>
      </w:r>
    </w:p>
    <w:p w:rsidR="00F70456" w:rsidRPr="00F70456" w:rsidRDefault="00F70456" w:rsidP="00F70456">
      <w:pPr>
        <w:bidi/>
        <w:spacing w:after="0" w:line="240" w:lineRule="auto"/>
        <w:ind w:left="284"/>
        <w:jc w:val="both"/>
        <w:rPr>
          <w:rFonts w:ascii="Arial" w:hAnsi="Arial" w:cs="Arial"/>
        </w:rPr>
      </w:pPr>
    </w:p>
    <w:p w:rsidR="00F70456" w:rsidRPr="00F70456" w:rsidRDefault="00F70456" w:rsidP="00FC7DBD">
      <w:pPr>
        <w:bidi/>
        <w:spacing w:before="120" w:after="0" w:line="240" w:lineRule="auto"/>
        <w:ind w:left="284"/>
        <w:jc w:val="both"/>
        <w:rPr>
          <w:rFonts w:ascii="Arial" w:hAnsi="Arial" w:cs="Arial"/>
        </w:rPr>
      </w:pPr>
      <w:r w:rsidRPr="00F70456">
        <w:rPr>
          <w:rFonts w:ascii="Arial" w:hAnsi="Arial" w:cs="Arial"/>
          <w:b/>
          <w:bCs/>
          <w:rtl/>
        </w:rPr>
        <w:t xml:space="preserve">الفصل </w:t>
      </w:r>
      <w:r w:rsidRPr="00F70456">
        <w:rPr>
          <w:rFonts w:ascii="Arial" w:hAnsi="Arial" w:cs="Arial" w:hint="cs"/>
          <w:b/>
          <w:bCs/>
          <w:rtl/>
        </w:rPr>
        <w:t xml:space="preserve">4 </w:t>
      </w:r>
      <w:r w:rsidRPr="00F70456">
        <w:rPr>
          <w:rFonts w:ascii="Arial" w:hAnsi="Arial" w:cs="Arial"/>
          <w:b/>
          <w:bCs/>
          <w:rtl/>
        </w:rPr>
        <w:t>–</w:t>
      </w:r>
      <w:r w:rsidRPr="00F70456">
        <w:rPr>
          <w:rFonts w:ascii="Arial" w:hAnsi="Arial" w:cs="Arial"/>
          <w:rtl/>
        </w:rPr>
        <w:t xml:space="preserve"> يحدد السقف الجملي التقديري، للأتعاب لكامل مدة التكليف للمحامي الواحد أو شركة المحاماة الواحدة بما قدره مائة ألف دينار بدون اعتبار الأداء على القيمة المضافة</w:t>
      </w:r>
      <w:r w:rsidRPr="00F70456">
        <w:rPr>
          <w:rFonts w:ascii="Arial" w:hAnsi="Arial" w:cs="Arial"/>
        </w:rPr>
        <w:t>.</w:t>
      </w:r>
    </w:p>
    <w:p w:rsidR="00F70456" w:rsidRPr="00F70456" w:rsidRDefault="00F70456" w:rsidP="00FC7DBD">
      <w:pPr>
        <w:bidi/>
        <w:spacing w:before="120" w:after="0" w:line="240" w:lineRule="auto"/>
        <w:ind w:left="284"/>
        <w:jc w:val="both"/>
        <w:rPr>
          <w:rFonts w:ascii="Arial" w:hAnsi="Arial" w:cs="Arial"/>
        </w:rPr>
      </w:pPr>
      <w:r w:rsidRPr="00F70456">
        <w:rPr>
          <w:rFonts w:ascii="Arial" w:hAnsi="Arial" w:cs="Arial"/>
          <w:rtl/>
        </w:rPr>
        <w:t>ويرفع هذا المبلغ بـ 10% كل سنتين بداية من السنة الموالية لسنة دخول هذا القرار حيز التنفيذ. وتطبق هذه الزيادة على القضايا الجديدة. ولا تنطبق الزيادة المشار إليها في هذه الفقرة على القضايا الجارية في تاريخ دخول هذا القرار حيز التنفيذ</w:t>
      </w:r>
      <w:r w:rsidRPr="00F70456">
        <w:rPr>
          <w:rFonts w:ascii="Arial" w:hAnsi="Arial" w:cs="Arial"/>
        </w:rPr>
        <w:t>.</w:t>
      </w:r>
    </w:p>
    <w:p w:rsidR="00F70456" w:rsidRPr="00F70456" w:rsidRDefault="00F70456" w:rsidP="00F70456">
      <w:pPr>
        <w:bidi/>
        <w:spacing w:after="0" w:line="240" w:lineRule="auto"/>
        <w:ind w:left="284"/>
        <w:jc w:val="both"/>
        <w:rPr>
          <w:rFonts w:ascii="Arial" w:hAnsi="Arial" w:cs="Arial"/>
        </w:rPr>
      </w:pPr>
    </w:p>
    <w:p w:rsidR="00F70456" w:rsidRPr="00F70456" w:rsidRDefault="00F70456" w:rsidP="00F70456">
      <w:pPr>
        <w:bidi/>
        <w:spacing w:after="0" w:line="240" w:lineRule="auto"/>
        <w:ind w:left="284"/>
        <w:jc w:val="both"/>
        <w:rPr>
          <w:rFonts w:ascii="Arial" w:hAnsi="Arial" w:cs="Arial"/>
        </w:rPr>
      </w:pPr>
      <w:r w:rsidRPr="00F70456">
        <w:rPr>
          <w:rFonts w:ascii="Arial" w:hAnsi="Arial" w:cs="Arial"/>
          <w:b/>
          <w:bCs/>
          <w:rtl/>
        </w:rPr>
        <w:t>الف</w:t>
      </w:r>
      <w:bookmarkStart w:id="0" w:name="_GoBack"/>
      <w:bookmarkEnd w:id="0"/>
      <w:r w:rsidRPr="00F70456">
        <w:rPr>
          <w:rFonts w:ascii="Arial" w:hAnsi="Arial" w:cs="Arial"/>
          <w:b/>
          <w:bCs/>
          <w:rtl/>
        </w:rPr>
        <w:t xml:space="preserve">صل </w:t>
      </w:r>
      <w:r w:rsidRPr="00F70456">
        <w:rPr>
          <w:rFonts w:ascii="Arial" w:hAnsi="Arial" w:cs="Arial" w:hint="cs"/>
          <w:b/>
          <w:bCs/>
          <w:rtl/>
        </w:rPr>
        <w:t xml:space="preserve">5 </w:t>
      </w:r>
      <w:r w:rsidRPr="00F70456">
        <w:rPr>
          <w:rFonts w:ascii="Arial" w:hAnsi="Arial" w:cs="Arial"/>
          <w:b/>
          <w:bCs/>
          <w:rtl/>
        </w:rPr>
        <w:t>–</w:t>
      </w:r>
      <w:r w:rsidRPr="00F70456">
        <w:rPr>
          <w:rFonts w:ascii="Arial" w:hAnsi="Arial" w:cs="Arial"/>
          <w:rtl/>
        </w:rPr>
        <w:t xml:space="preserve"> تتولى الهياكل العمومية المشار إليها بالفصل الثالث من هذا القرار إعلام اللجنة المحدثة بالفصل السابع من الأمر عدد 764 لسنة 2014 المشار إليه أعلاه كلما لجأت إلى إنابة محام، وذلك في أجل أقصاه ثلاثين يوما من تاريخ التكليف</w:t>
      </w:r>
      <w:r w:rsidRPr="00F70456">
        <w:rPr>
          <w:rFonts w:ascii="Arial" w:hAnsi="Arial" w:cs="Arial"/>
        </w:rPr>
        <w:t>.</w:t>
      </w:r>
    </w:p>
    <w:p w:rsidR="00F70456" w:rsidRPr="00F70456" w:rsidRDefault="00F70456" w:rsidP="00F70456">
      <w:pPr>
        <w:bidi/>
        <w:spacing w:after="0" w:line="240" w:lineRule="auto"/>
        <w:ind w:left="284"/>
        <w:jc w:val="both"/>
        <w:rPr>
          <w:rFonts w:ascii="Arial" w:hAnsi="Arial" w:cs="Arial"/>
        </w:rPr>
      </w:pPr>
    </w:p>
    <w:p w:rsidR="00F70456" w:rsidRPr="00F70456" w:rsidRDefault="00F70456" w:rsidP="00F70456">
      <w:pPr>
        <w:bidi/>
        <w:spacing w:after="0" w:line="240" w:lineRule="auto"/>
        <w:ind w:left="284"/>
        <w:jc w:val="both"/>
        <w:rPr>
          <w:rFonts w:ascii="Arial" w:hAnsi="Arial" w:cs="Arial"/>
        </w:rPr>
      </w:pPr>
      <w:r w:rsidRPr="00F70456">
        <w:rPr>
          <w:rFonts w:ascii="Arial" w:hAnsi="Arial" w:cs="Arial"/>
          <w:b/>
          <w:bCs/>
          <w:rtl/>
        </w:rPr>
        <w:t xml:space="preserve">الفصل </w:t>
      </w:r>
      <w:r w:rsidRPr="00F70456">
        <w:rPr>
          <w:rFonts w:ascii="Arial" w:hAnsi="Arial" w:cs="Arial" w:hint="cs"/>
          <w:b/>
          <w:bCs/>
          <w:rtl/>
        </w:rPr>
        <w:t xml:space="preserve">6 </w:t>
      </w:r>
      <w:r w:rsidRPr="00F70456">
        <w:rPr>
          <w:rFonts w:ascii="Arial" w:hAnsi="Arial" w:cs="Arial"/>
          <w:b/>
          <w:bCs/>
          <w:rtl/>
        </w:rPr>
        <w:t>–</w:t>
      </w:r>
      <w:r w:rsidRPr="00F70456">
        <w:rPr>
          <w:rFonts w:ascii="Arial" w:hAnsi="Arial" w:cs="Arial"/>
          <w:rtl/>
        </w:rPr>
        <w:t xml:space="preserve"> في صورة ترشح محام أو شركة محاماة في أكثر من هيكل عمومي واحد، تعتمد الهيئة العليا للطلب العمومي في توزيع المحامين معيار الأسبقية في نشر طلب العروض</w:t>
      </w:r>
      <w:r w:rsidRPr="00F70456">
        <w:rPr>
          <w:rFonts w:ascii="Arial" w:hAnsi="Arial" w:cs="Arial"/>
        </w:rPr>
        <w:t>.</w:t>
      </w:r>
    </w:p>
    <w:p w:rsidR="00F70456" w:rsidRPr="00F70456" w:rsidRDefault="00F70456" w:rsidP="00F70456">
      <w:pPr>
        <w:bidi/>
        <w:spacing w:after="0" w:line="240" w:lineRule="auto"/>
        <w:ind w:left="284"/>
        <w:jc w:val="both"/>
        <w:rPr>
          <w:rFonts w:ascii="Arial" w:hAnsi="Arial" w:cs="Arial"/>
          <w:b/>
          <w:bCs/>
        </w:rPr>
      </w:pPr>
    </w:p>
    <w:p w:rsidR="00F70456" w:rsidRPr="00F70456" w:rsidRDefault="00F70456" w:rsidP="00F70456">
      <w:pPr>
        <w:bidi/>
        <w:spacing w:after="0" w:line="240" w:lineRule="auto"/>
        <w:ind w:left="284"/>
        <w:jc w:val="both"/>
        <w:rPr>
          <w:rFonts w:ascii="Arial" w:hAnsi="Arial" w:cs="Arial"/>
        </w:rPr>
      </w:pPr>
      <w:r w:rsidRPr="00F70456">
        <w:rPr>
          <w:rFonts w:ascii="Arial" w:hAnsi="Arial" w:cs="Arial"/>
          <w:b/>
          <w:bCs/>
          <w:rtl/>
        </w:rPr>
        <w:lastRenderedPageBreak/>
        <w:t xml:space="preserve">الفصل </w:t>
      </w:r>
      <w:r w:rsidRPr="00F70456">
        <w:rPr>
          <w:rFonts w:ascii="Arial" w:hAnsi="Arial" w:cs="Arial" w:hint="cs"/>
          <w:b/>
          <w:bCs/>
          <w:rtl/>
        </w:rPr>
        <w:t xml:space="preserve">7 </w:t>
      </w:r>
      <w:r w:rsidRPr="00F70456">
        <w:rPr>
          <w:rFonts w:ascii="Arial" w:hAnsi="Arial" w:cs="Arial"/>
          <w:b/>
          <w:bCs/>
          <w:rtl/>
        </w:rPr>
        <w:t>–</w:t>
      </w:r>
      <w:r w:rsidRPr="00F70456">
        <w:rPr>
          <w:rFonts w:ascii="Arial" w:hAnsi="Arial" w:cs="Arial"/>
          <w:rtl/>
        </w:rPr>
        <w:t xml:space="preserve"> لا يمكن للمحامي أو لشركة محاماة الترشح من جديد لنيابة هياكل عمومية إلا بعد انقضاء فترة الثلاث (3) سنوات التي ضبطها الأمر عدد 764 لسنة 2014 المؤرخ في 27 جانفي 2014 المشار إليه أعلاه</w:t>
      </w:r>
      <w:r w:rsidRPr="00F70456">
        <w:rPr>
          <w:rFonts w:ascii="Arial" w:hAnsi="Arial" w:cs="Arial"/>
        </w:rPr>
        <w:t>.</w:t>
      </w:r>
    </w:p>
    <w:p w:rsidR="00F70456" w:rsidRPr="00F70456" w:rsidRDefault="00F70456" w:rsidP="00F70456">
      <w:pPr>
        <w:bidi/>
        <w:spacing w:after="0" w:line="240" w:lineRule="auto"/>
        <w:ind w:left="284"/>
        <w:jc w:val="both"/>
        <w:rPr>
          <w:rFonts w:ascii="Arial" w:hAnsi="Arial" w:cs="Arial"/>
        </w:rPr>
      </w:pPr>
    </w:p>
    <w:p w:rsidR="00F70456" w:rsidRPr="00F70456" w:rsidRDefault="00F70456" w:rsidP="00F70456">
      <w:pPr>
        <w:bidi/>
        <w:spacing w:after="0" w:line="240" w:lineRule="auto"/>
        <w:ind w:left="284"/>
        <w:jc w:val="both"/>
        <w:rPr>
          <w:rFonts w:ascii="Arial" w:hAnsi="Arial" w:cs="Arial"/>
        </w:rPr>
      </w:pPr>
      <w:r w:rsidRPr="00F70456">
        <w:rPr>
          <w:rFonts w:ascii="Arial" w:hAnsi="Arial" w:cs="Arial"/>
          <w:b/>
          <w:bCs/>
          <w:rtl/>
        </w:rPr>
        <w:t xml:space="preserve">الفصل </w:t>
      </w:r>
      <w:r w:rsidRPr="00F70456">
        <w:rPr>
          <w:rFonts w:ascii="Arial" w:hAnsi="Arial" w:cs="Arial" w:hint="cs"/>
          <w:b/>
          <w:bCs/>
          <w:rtl/>
        </w:rPr>
        <w:t xml:space="preserve">8 </w:t>
      </w:r>
      <w:r w:rsidRPr="00F70456">
        <w:rPr>
          <w:rFonts w:ascii="Arial" w:hAnsi="Arial" w:cs="Arial"/>
          <w:b/>
          <w:bCs/>
          <w:rtl/>
        </w:rPr>
        <w:t>–</w:t>
      </w:r>
      <w:r>
        <w:rPr>
          <w:rFonts w:ascii="Arial" w:hAnsi="Arial" w:cs="Arial" w:hint="cs"/>
          <w:rtl/>
        </w:rPr>
        <w:t xml:space="preserve"> </w:t>
      </w:r>
      <w:r w:rsidRPr="00F70456">
        <w:rPr>
          <w:rFonts w:ascii="Arial" w:hAnsi="Arial" w:cs="Arial"/>
          <w:rtl/>
        </w:rPr>
        <w:t xml:space="preserve"> ينشر هذا القرار بالرائد الرسمي للجمهورية التونسية ويجري العمل به ابتداء من 1 جوان 2016</w:t>
      </w:r>
      <w:r w:rsidRPr="00F70456">
        <w:rPr>
          <w:rFonts w:ascii="Arial" w:hAnsi="Arial" w:cs="Arial"/>
        </w:rPr>
        <w:t>.</w:t>
      </w:r>
    </w:p>
    <w:p w:rsidR="00F70456" w:rsidRPr="00F70456" w:rsidRDefault="00F70456" w:rsidP="00F70456">
      <w:pPr>
        <w:bidi/>
        <w:spacing w:after="0" w:line="240" w:lineRule="auto"/>
        <w:ind w:left="284"/>
        <w:jc w:val="both"/>
        <w:rPr>
          <w:rFonts w:ascii="Arial" w:hAnsi="Arial" w:cs="Arial"/>
        </w:rPr>
      </w:pPr>
    </w:p>
    <w:p w:rsidR="00F70456" w:rsidRPr="00F70456" w:rsidRDefault="00F70456" w:rsidP="00F70456">
      <w:pPr>
        <w:bidi/>
        <w:spacing w:after="0" w:line="240" w:lineRule="auto"/>
        <w:ind w:left="284"/>
        <w:jc w:val="both"/>
        <w:rPr>
          <w:rFonts w:ascii="Arial" w:hAnsi="Arial" w:cs="Arial"/>
          <w:b/>
          <w:bCs/>
        </w:rPr>
      </w:pPr>
      <w:r w:rsidRPr="00F70456">
        <w:rPr>
          <w:rFonts w:ascii="Arial" w:hAnsi="Arial" w:cs="Arial"/>
          <w:b/>
          <w:bCs/>
          <w:rtl/>
        </w:rPr>
        <w:t>تونس في 22 أفريل 2016</w:t>
      </w:r>
      <w:r w:rsidRPr="00F70456">
        <w:rPr>
          <w:rFonts w:ascii="Arial" w:hAnsi="Arial" w:cs="Arial"/>
          <w:b/>
          <w:bCs/>
        </w:rPr>
        <w:t>.</w:t>
      </w:r>
    </w:p>
    <w:p w:rsidR="006449D8" w:rsidRPr="00F70456" w:rsidRDefault="006449D8" w:rsidP="00F70456">
      <w:pPr>
        <w:bidi/>
        <w:spacing w:after="0" w:line="240" w:lineRule="auto"/>
        <w:ind w:left="284"/>
        <w:jc w:val="both"/>
        <w:rPr>
          <w:rFonts w:ascii="Arial" w:hAnsi="Arial" w:cs="Arial"/>
          <w:b/>
          <w:bCs/>
        </w:rPr>
      </w:pPr>
    </w:p>
    <w:sectPr w:rsidR="006449D8" w:rsidRPr="00F70456" w:rsidSect="00C9512C">
      <w:headerReference w:type="even" r:id="rId8"/>
      <w:headerReference w:type="default" r:id="rId9"/>
      <w:footerReference w:type="even" r:id="rId10"/>
      <w:footerReference w:type="default" r:id="rId11"/>
      <w:headerReference w:type="first" r:id="rId12"/>
      <w:footerReference w:type="first" r:id="rId13"/>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4E3" w:rsidRDefault="000254E3" w:rsidP="008F3F2D">
      <w:r>
        <w:separator/>
      </w:r>
    </w:p>
  </w:endnote>
  <w:endnote w:type="continuationSeparator" w:id="0">
    <w:p w:rsidR="000254E3" w:rsidRDefault="000254E3"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BEE" w:rsidRPr="00A91DAC" w:rsidRDefault="00E32BEE">
    <w:pPr>
      <w:pStyle w:val="Pieddepage"/>
      <w:rPr>
        <w:rFonts w:ascii="Arial" w:hAnsi="Arial"/>
        <w:color w:val="FFFFFF"/>
        <w:sz w:val="18"/>
        <w:szCs w:val="18"/>
      </w:rPr>
    </w:pPr>
    <w:r w:rsidRPr="00A91DAC">
      <w:rPr>
        <w:rFonts w:ascii="Arial" w:hAnsi="Arial"/>
        <w:noProof/>
        <w:color w:val="FFFFFF"/>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rsidR="00E32BEE" w:rsidRPr="00A00644" w:rsidRDefault="00E32BEE"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FC7DBD">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FC7DBD">
                            <w:rPr>
                              <w:rFonts w:ascii="Arial" w:hAnsi="Arial" w:cs="Arial"/>
                              <w:noProof/>
                              <w:sz w:val="18"/>
                              <w:szCs w:val="18"/>
                            </w:rPr>
                            <w:t>2</w:t>
                          </w:r>
                          <w:r w:rsidRPr="001E5DD5">
                            <w:rPr>
                              <w:rFonts w:ascii="Arial" w:hAnsi="Arial" w:cs="Arial"/>
                              <w:noProof/>
                              <w:sz w:val="18"/>
                              <w:szCs w:val="18"/>
                            </w:rPr>
                            <w:fldChar w:fldCharType="end"/>
                          </w:r>
                        </w:p>
                        <w:p w:rsidR="00E32BEE" w:rsidRDefault="00E32BEE"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rsidR="00E32BEE" w:rsidRPr="00A00644" w:rsidRDefault="00E32BEE"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FC7DBD">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FC7DBD">
                      <w:rPr>
                        <w:rFonts w:ascii="Arial" w:hAnsi="Arial" w:cs="Arial"/>
                        <w:noProof/>
                        <w:sz w:val="18"/>
                        <w:szCs w:val="18"/>
                      </w:rPr>
                      <w:t>2</w:t>
                    </w:r>
                    <w:r w:rsidRPr="001E5DD5">
                      <w:rPr>
                        <w:rFonts w:ascii="Arial" w:hAnsi="Arial" w:cs="Arial"/>
                        <w:noProof/>
                        <w:sz w:val="18"/>
                        <w:szCs w:val="18"/>
                      </w:rPr>
                      <w:fldChar w:fldCharType="end"/>
                    </w:r>
                  </w:p>
                  <w:p w:rsidR="00E32BEE" w:rsidRDefault="00E32BEE"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BEE" w:rsidRDefault="00E32BEE">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rsidR="00E32BEE" w:rsidRPr="00A00644" w:rsidRDefault="00E32BEE"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0254E3">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0254E3">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rsidR="00E32BEE" w:rsidRPr="00A00644" w:rsidRDefault="00E32BEE"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0254E3">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0254E3">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F2A" w:rsidRDefault="007E7F2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4E3" w:rsidRDefault="000254E3" w:rsidP="00696990">
      <w:pPr>
        <w:bidi/>
        <w:jc w:val="both"/>
      </w:pPr>
      <w:r>
        <w:separator/>
      </w:r>
    </w:p>
  </w:footnote>
  <w:footnote w:type="continuationSeparator" w:id="0">
    <w:p w:rsidR="000254E3" w:rsidRDefault="000254E3"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BEE" w:rsidRDefault="00E32BEE">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rsidR="00E32BEE" w:rsidRDefault="00E32BEE" w:rsidP="0097472C">
                          <w:pPr>
                            <w:spacing w:after="0" w:line="240" w:lineRule="auto"/>
                            <w:ind w:left="567"/>
                            <w:rPr>
                              <w:rFonts w:ascii="Arial" w:eastAsia="Times New Roman" w:hAnsi="Arial" w:cs="Times New Roman"/>
                              <w:sz w:val="24"/>
                              <w:szCs w:val="24"/>
                            </w:rPr>
                          </w:pPr>
                        </w:p>
                        <w:p w:rsidR="00E32BEE" w:rsidRPr="005F7BF4" w:rsidRDefault="00E32BEE"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rsidR="00E32BEE" w:rsidRPr="005F7BF4" w:rsidRDefault="00E32BEE"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rsidR="00E32BEE" w:rsidRDefault="00E32BEE" w:rsidP="0097472C">
                    <w:pPr>
                      <w:spacing w:after="0" w:line="240" w:lineRule="auto"/>
                      <w:ind w:left="567"/>
                      <w:rPr>
                        <w:rFonts w:ascii="Arial" w:eastAsia="Times New Roman" w:hAnsi="Arial" w:cs="Times New Roman"/>
                        <w:sz w:val="24"/>
                        <w:szCs w:val="24"/>
                      </w:rPr>
                    </w:pPr>
                  </w:p>
                  <w:p w:rsidR="00E32BEE" w:rsidRPr="005F7BF4" w:rsidRDefault="00E32BEE"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rsidR="00E32BEE" w:rsidRPr="005F7BF4" w:rsidRDefault="00E32BEE"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BEE" w:rsidRDefault="00E32BEE">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rsidR="00E32BEE" w:rsidRDefault="00E32BEE" w:rsidP="0075404E">
                          <w:pPr>
                            <w:spacing w:after="0" w:line="20" w:lineRule="atLeast"/>
                            <w:ind w:left="567"/>
                            <w:rPr>
                              <w:rFonts w:ascii="Arial" w:eastAsia="Times New Roman" w:hAnsi="Arial" w:cs="Arial"/>
                              <w:sz w:val="24"/>
                              <w:szCs w:val="20"/>
                              <w:lang w:eastAsia="en-US"/>
                            </w:rPr>
                          </w:pPr>
                        </w:p>
                        <w:p w:rsidR="00E32BEE" w:rsidRPr="00696C4B" w:rsidRDefault="00E32BEE"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rsidR="00E32BEE" w:rsidRPr="00317C84" w:rsidRDefault="00E32BEE"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rsidR="00E32BEE" w:rsidRDefault="00E32BEE"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rsidR="00E32BEE" w:rsidRDefault="00E32BEE" w:rsidP="0075404E">
                    <w:pPr>
                      <w:spacing w:after="0" w:line="20" w:lineRule="atLeast"/>
                      <w:ind w:left="567"/>
                      <w:rPr>
                        <w:rFonts w:ascii="Arial" w:eastAsia="Times New Roman" w:hAnsi="Arial" w:cs="Arial"/>
                        <w:sz w:val="24"/>
                        <w:szCs w:val="20"/>
                        <w:lang w:eastAsia="en-US"/>
                      </w:rPr>
                    </w:pPr>
                  </w:p>
                  <w:p w:rsidR="00E32BEE" w:rsidRPr="00696C4B" w:rsidRDefault="00E32BEE"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rsidR="00E32BEE" w:rsidRPr="00317C84" w:rsidRDefault="00E32BEE"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rsidR="00E32BEE" w:rsidRDefault="00E32BEE" w:rsidP="0075404E">
                    <w:pPr>
                      <w:jc w:val="center"/>
                    </w:pPr>
                  </w:p>
                </w:txbxContent>
              </v:textbox>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F2A" w:rsidRDefault="007E7F2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16BCF"/>
    <w:multiLevelType w:val="hybridMultilevel"/>
    <w:tmpl w:val="BADC41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7D11B60"/>
    <w:multiLevelType w:val="hybridMultilevel"/>
    <w:tmpl w:val="E1147BC2"/>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8D7507"/>
    <w:multiLevelType w:val="hybridMultilevel"/>
    <w:tmpl w:val="CB7624FE"/>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B91608"/>
    <w:multiLevelType w:val="hybridMultilevel"/>
    <w:tmpl w:val="E63AE846"/>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4001A38"/>
    <w:multiLevelType w:val="hybridMultilevel"/>
    <w:tmpl w:val="F79A6C64"/>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5FC4D25"/>
    <w:multiLevelType w:val="hybridMultilevel"/>
    <w:tmpl w:val="7AA8181A"/>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6495E94"/>
    <w:multiLevelType w:val="hybridMultilevel"/>
    <w:tmpl w:val="3E7C7B8C"/>
    <w:lvl w:ilvl="0" w:tplc="276EEA1E">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7" w15:restartNumberingAfterBreak="0">
    <w:nsid w:val="36C01EB7"/>
    <w:multiLevelType w:val="hybridMultilevel"/>
    <w:tmpl w:val="F20C366A"/>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A42375D"/>
    <w:multiLevelType w:val="hybridMultilevel"/>
    <w:tmpl w:val="52783D12"/>
    <w:lvl w:ilvl="0" w:tplc="276EEA1E">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3AFA58AF"/>
    <w:multiLevelType w:val="hybridMultilevel"/>
    <w:tmpl w:val="FEE09CEE"/>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7646117"/>
    <w:multiLevelType w:val="hybridMultilevel"/>
    <w:tmpl w:val="108407D4"/>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80B5FE9"/>
    <w:multiLevelType w:val="hybridMultilevel"/>
    <w:tmpl w:val="E1400C9A"/>
    <w:lvl w:ilvl="0" w:tplc="B50C1956">
      <w:start w:val="1"/>
      <w:numFmt w:val="arabicAbjad"/>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2" w15:restartNumberingAfterBreak="0">
    <w:nsid w:val="6C2472BE"/>
    <w:multiLevelType w:val="hybridMultilevel"/>
    <w:tmpl w:val="535ECA6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6DE079D3"/>
    <w:multiLevelType w:val="hybridMultilevel"/>
    <w:tmpl w:val="D6E215A8"/>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F8756C4"/>
    <w:multiLevelType w:val="hybridMultilevel"/>
    <w:tmpl w:val="DA36EAF6"/>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07344EC"/>
    <w:multiLevelType w:val="hybridMultilevel"/>
    <w:tmpl w:val="87403B42"/>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F540389"/>
    <w:multiLevelType w:val="hybridMultilevel"/>
    <w:tmpl w:val="AA8433F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num w:numId="1">
    <w:abstractNumId w:val="14"/>
  </w:num>
  <w:num w:numId="2">
    <w:abstractNumId w:val="10"/>
  </w:num>
  <w:num w:numId="3">
    <w:abstractNumId w:val="13"/>
  </w:num>
  <w:num w:numId="4">
    <w:abstractNumId w:val="7"/>
  </w:num>
  <w:num w:numId="5">
    <w:abstractNumId w:val="16"/>
  </w:num>
  <w:num w:numId="6">
    <w:abstractNumId w:val="0"/>
  </w:num>
  <w:num w:numId="7">
    <w:abstractNumId w:val="8"/>
  </w:num>
  <w:num w:numId="8">
    <w:abstractNumId w:val="11"/>
  </w:num>
  <w:num w:numId="9">
    <w:abstractNumId w:val="6"/>
  </w:num>
  <w:num w:numId="10">
    <w:abstractNumId w:val="9"/>
  </w:num>
  <w:num w:numId="11">
    <w:abstractNumId w:val="1"/>
  </w:num>
  <w:num w:numId="12">
    <w:abstractNumId w:val="3"/>
  </w:num>
  <w:num w:numId="13">
    <w:abstractNumId w:val="5"/>
  </w:num>
  <w:num w:numId="14">
    <w:abstractNumId w:val="4"/>
  </w:num>
  <w:num w:numId="15">
    <w:abstractNumId w:val="2"/>
  </w:num>
  <w:num w:numId="16">
    <w:abstractNumId w:val="15"/>
  </w:num>
  <w:num w:numId="17">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06DB8"/>
    <w:rsid w:val="000172F7"/>
    <w:rsid w:val="000254E3"/>
    <w:rsid w:val="00050397"/>
    <w:rsid w:val="00052372"/>
    <w:rsid w:val="00053739"/>
    <w:rsid w:val="00053C64"/>
    <w:rsid w:val="0006269F"/>
    <w:rsid w:val="00072A9A"/>
    <w:rsid w:val="0007464C"/>
    <w:rsid w:val="00085159"/>
    <w:rsid w:val="000856EB"/>
    <w:rsid w:val="00092DE2"/>
    <w:rsid w:val="00094E16"/>
    <w:rsid w:val="00095334"/>
    <w:rsid w:val="000B0D20"/>
    <w:rsid w:val="000B2A08"/>
    <w:rsid w:val="000B460E"/>
    <w:rsid w:val="000C1882"/>
    <w:rsid w:val="000C5AFE"/>
    <w:rsid w:val="000C6D2E"/>
    <w:rsid w:val="000C6FB2"/>
    <w:rsid w:val="000D7802"/>
    <w:rsid w:val="000E3E65"/>
    <w:rsid w:val="000E5A60"/>
    <w:rsid w:val="000F6B06"/>
    <w:rsid w:val="00100229"/>
    <w:rsid w:val="00121D66"/>
    <w:rsid w:val="001259C1"/>
    <w:rsid w:val="00125DF8"/>
    <w:rsid w:val="00131332"/>
    <w:rsid w:val="0013184D"/>
    <w:rsid w:val="00134668"/>
    <w:rsid w:val="00145A72"/>
    <w:rsid w:val="00152992"/>
    <w:rsid w:val="001543CD"/>
    <w:rsid w:val="00175844"/>
    <w:rsid w:val="00194CE1"/>
    <w:rsid w:val="001A4BA4"/>
    <w:rsid w:val="001B10F2"/>
    <w:rsid w:val="001C4FA9"/>
    <w:rsid w:val="001E5DD5"/>
    <w:rsid w:val="001F2B8F"/>
    <w:rsid w:val="00200E4A"/>
    <w:rsid w:val="00201E31"/>
    <w:rsid w:val="002079A9"/>
    <w:rsid w:val="0021006E"/>
    <w:rsid w:val="00214CFF"/>
    <w:rsid w:val="00216479"/>
    <w:rsid w:val="00221463"/>
    <w:rsid w:val="00221575"/>
    <w:rsid w:val="0023696A"/>
    <w:rsid w:val="00243D4D"/>
    <w:rsid w:val="0024486E"/>
    <w:rsid w:val="00251672"/>
    <w:rsid w:val="002639DA"/>
    <w:rsid w:val="002666C9"/>
    <w:rsid w:val="00273DF6"/>
    <w:rsid w:val="002824FA"/>
    <w:rsid w:val="002A2B42"/>
    <w:rsid w:val="002B0CC7"/>
    <w:rsid w:val="002B109A"/>
    <w:rsid w:val="002B19EE"/>
    <w:rsid w:val="002C1F0C"/>
    <w:rsid w:val="002C639E"/>
    <w:rsid w:val="002F3482"/>
    <w:rsid w:val="002F3900"/>
    <w:rsid w:val="003040F9"/>
    <w:rsid w:val="00306AB7"/>
    <w:rsid w:val="0032406B"/>
    <w:rsid w:val="00354137"/>
    <w:rsid w:val="00355939"/>
    <w:rsid w:val="00362783"/>
    <w:rsid w:val="003752C0"/>
    <w:rsid w:val="00382103"/>
    <w:rsid w:val="0039071A"/>
    <w:rsid w:val="003932F6"/>
    <w:rsid w:val="00393F3A"/>
    <w:rsid w:val="00395CBE"/>
    <w:rsid w:val="003A76D7"/>
    <w:rsid w:val="003B2977"/>
    <w:rsid w:val="003B5639"/>
    <w:rsid w:val="003B6CD4"/>
    <w:rsid w:val="003E4DFF"/>
    <w:rsid w:val="003F1349"/>
    <w:rsid w:val="003F1440"/>
    <w:rsid w:val="003F6ED1"/>
    <w:rsid w:val="004005FC"/>
    <w:rsid w:val="004038CF"/>
    <w:rsid w:val="00407110"/>
    <w:rsid w:val="00420A88"/>
    <w:rsid w:val="00425178"/>
    <w:rsid w:val="00441ED7"/>
    <w:rsid w:val="004421E2"/>
    <w:rsid w:val="004529F4"/>
    <w:rsid w:val="00453596"/>
    <w:rsid w:val="00453D81"/>
    <w:rsid w:val="00490A04"/>
    <w:rsid w:val="00490B6E"/>
    <w:rsid w:val="00494A96"/>
    <w:rsid w:val="00496D4E"/>
    <w:rsid w:val="004A5CEA"/>
    <w:rsid w:val="004A6A14"/>
    <w:rsid w:val="004C30C7"/>
    <w:rsid w:val="004C7D77"/>
    <w:rsid w:val="004D03AF"/>
    <w:rsid w:val="004D21C3"/>
    <w:rsid w:val="004D4882"/>
    <w:rsid w:val="004E2671"/>
    <w:rsid w:val="004E74B3"/>
    <w:rsid w:val="004F7535"/>
    <w:rsid w:val="005012A3"/>
    <w:rsid w:val="0050288B"/>
    <w:rsid w:val="005058F3"/>
    <w:rsid w:val="005219FA"/>
    <w:rsid w:val="0052231B"/>
    <w:rsid w:val="00530F5C"/>
    <w:rsid w:val="00531E0D"/>
    <w:rsid w:val="0053699B"/>
    <w:rsid w:val="00553D71"/>
    <w:rsid w:val="0055499B"/>
    <w:rsid w:val="00560ABA"/>
    <w:rsid w:val="00574EB9"/>
    <w:rsid w:val="00575B68"/>
    <w:rsid w:val="00580CC0"/>
    <w:rsid w:val="005850A8"/>
    <w:rsid w:val="005D17EC"/>
    <w:rsid w:val="005D516D"/>
    <w:rsid w:val="005D632B"/>
    <w:rsid w:val="005E2AA2"/>
    <w:rsid w:val="005F7250"/>
    <w:rsid w:val="005F7BF4"/>
    <w:rsid w:val="006032A7"/>
    <w:rsid w:val="00610A8F"/>
    <w:rsid w:val="00614E8F"/>
    <w:rsid w:val="0064132D"/>
    <w:rsid w:val="006449D8"/>
    <w:rsid w:val="00645A42"/>
    <w:rsid w:val="0065154F"/>
    <w:rsid w:val="00655356"/>
    <w:rsid w:val="00675862"/>
    <w:rsid w:val="00677306"/>
    <w:rsid w:val="00684129"/>
    <w:rsid w:val="00690191"/>
    <w:rsid w:val="006936C8"/>
    <w:rsid w:val="00696990"/>
    <w:rsid w:val="006B5391"/>
    <w:rsid w:val="006C103F"/>
    <w:rsid w:val="006C631D"/>
    <w:rsid w:val="006D6001"/>
    <w:rsid w:val="006D7B5B"/>
    <w:rsid w:val="007018CA"/>
    <w:rsid w:val="00702AFC"/>
    <w:rsid w:val="00711C58"/>
    <w:rsid w:val="00716544"/>
    <w:rsid w:val="007244D3"/>
    <w:rsid w:val="00725A53"/>
    <w:rsid w:val="0072773C"/>
    <w:rsid w:val="007331DE"/>
    <w:rsid w:val="00751EDC"/>
    <w:rsid w:val="0075404E"/>
    <w:rsid w:val="00755CE5"/>
    <w:rsid w:val="00760A0C"/>
    <w:rsid w:val="007667BB"/>
    <w:rsid w:val="00782379"/>
    <w:rsid w:val="007828BE"/>
    <w:rsid w:val="007855D7"/>
    <w:rsid w:val="00791AA0"/>
    <w:rsid w:val="0079364A"/>
    <w:rsid w:val="00797FA1"/>
    <w:rsid w:val="007A10F8"/>
    <w:rsid w:val="007A7245"/>
    <w:rsid w:val="007B0596"/>
    <w:rsid w:val="007B54B3"/>
    <w:rsid w:val="007C6F68"/>
    <w:rsid w:val="007D1473"/>
    <w:rsid w:val="007D623A"/>
    <w:rsid w:val="007D7028"/>
    <w:rsid w:val="007E7F2A"/>
    <w:rsid w:val="007F729E"/>
    <w:rsid w:val="008016FB"/>
    <w:rsid w:val="0083672D"/>
    <w:rsid w:val="00842A9C"/>
    <w:rsid w:val="00843294"/>
    <w:rsid w:val="00854D4D"/>
    <w:rsid w:val="0086081A"/>
    <w:rsid w:val="008677FA"/>
    <w:rsid w:val="00867853"/>
    <w:rsid w:val="008703CB"/>
    <w:rsid w:val="00882DA6"/>
    <w:rsid w:val="008A0797"/>
    <w:rsid w:val="008A5B5D"/>
    <w:rsid w:val="008A67C7"/>
    <w:rsid w:val="008B0B7A"/>
    <w:rsid w:val="008B1D8C"/>
    <w:rsid w:val="008D59FA"/>
    <w:rsid w:val="008D73A6"/>
    <w:rsid w:val="008F3F2D"/>
    <w:rsid w:val="00923BD4"/>
    <w:rsid w:val="009248E7"/>
    <w:rsid w:val="00925024"/>
    <w:rsid w:val="009323B9"/>
    <w:rsid w:val="0094212D"/>
    <w:rsid w:val="00947C5D"/>
    <w:rsid w:val="00952BFE"/>
    <w:rsid w:val="00957F0E"/>
    <w:rsid w:val="00972982"/>
    <w:rsid w:val="0097472C"/>
    <w:rsid w:val="009A6EA9"/>
    <w:rsid w:val="009C0256"/>
    <w:rsid w:val="009C6740"/>
    <w:rsid w:val="009D2035"/>
    <w:rsid w:val="009D3031"/>
    <w:rsid w:val="009D7ACF"/>
    <w:rsid w:val="009E1F2E"/>
    <w:rsid w:val="009E3917"/>
    <w:rsid w:val="009E4A90"/>
    <w:rsid w:val="00A00644"/>
    <w:rsid w:val="00A04F09"/>
    <w:rsid w:val="00A054EF"/>
    <w:rsid w:val="00A1479E"/>
    <w:rsid w:val="00A17F36"/>
    <w:rsid w:val="00A20B29"/>
    <w:rsid w:val="00A34AC4"/>
    <w:rsid w:val="00A369FE"/>
    <w:rsid w:val="00A52D91"/>
    <w:rsid w:val="00A53818"/>
    <w:rsid w:val="00A70B9C"/>
    <w:rsid w:val="00A720F0"/>
    <w:rsid w:val="00A762A2"/>
    <w:rsid w:val="00A81D8F"/>
    <w:rsid w:val="00A85267"/>
    <w:rsid w:val="00A879D2"/>
    <w:rsid w:val="00A90F21"/>
    <w:rsid w:val="00A91DAC"/>
    <w:rsid w:val="00A91F55"/>
    <w:rsid w:val="00A94741"/>
    <w:rsid w:val="00A94D4E"/>
    <w:rsid w:val="00AA2B43"/>
    <w:rsid w:val="00AC41D7"/>
    <w:rsid w:val="00AC6634"/>
    <w:rsid w:val="00AD2268"/>
    <w:rsid w:val="00AE007A"/>
    <w:rsid w:val="00AE3DB9"/>
    <w:rsid w:val="00AF2B4A"/>
    <w:rsid w:val="00AF3F2B"/>
    <w:rsid w:val="00B00038"/>
    <w:rsid w:val="00B03DA5"/>
    <w:rsid w:val="00B05438"/>
    <w:rsid w:val="00B16488"/>
    <w:rsid w:val="00B20589"/>
    <w:rsid w:val="00B337AE"/>
    <w:rsid w:val="00B46642"/>
    <w:rsid w:val="00B526F8"/>
    <w:rsid w:val="00B55756"/>
    <w:rsid w:val="00B617F1"/>
    <w:rsid w:val="00B84D27"/>
    <w:rsid w:val="00B87137"/>
    <w:rsid w:val="00B87182"/>
    <w:rsid w:val="00B90416"/>
    <w:rsid w:val="00B9110C"/>
    <w:rsid w:val="00B91E26"/>
    <w:rsid w:val="00B924A3"/>
    <w:rsid w:val="00B934F7"/>
    <w:rsid w:val="00B93A0F"/>
    <w:rsid w:val="00BA0C42"/>
    <w:rsid w:val="00BB235A"/>
    <w:rsid w:val="00BC2C35"/>
    <w:rsid w:val="00BC7F1B"/>
    <w:rsid w:val="00C00105"/>
    <w:rsid w:val="00C00B1C"/>
    <w:rsid w:val="00C017C7"/>
    <w:rsid w:val="00C0448F"/>
    <w:rsid w:val="00C1635D"/>
    <w:rsid w:val="00C230D4"/>
    <w:rsid w:val="00C34EA5"/>
    <w:rsid w:val="00C41295"/>
    <w:rsid w:val="00C44A28"/>
    <w:rsid w:val="00C57E3F"/>
    <w:rsid w:val="00C635B3"/>
    <w:rsid w:val="00C63F47"/>
    <w:rsid w:val="00C64B86"/>
    <w:rsid w:val="00C7268B"/>
    <w:rsid w:val="00C76B0B"/>
    <w:rsid w:val="00C81BBE"/>
    <w:rsid w:val="00C8468A"/>
    <w:rsid w:val="00C9512C"/>
    <w:rsid w:val="00CA0C41"/>
    <w:rsid w:val="00CA17FF"/>
    <w:rsid w:val="00CC08C8"/>
    <w:rsid w:val="00CC4ADF"/>
    <w:rsid w:val="00CE7620"/>
    <w:rsid w:val="00D00D80"/>
    <w:rsid w:val="00D07749"/>
    <w:rsid w:val="00D17590"/>
    <w:rsid w:val="00D20328"/>
    <w:rsid w:val="00D27C26"/>
    <w:rsid w:val="00D42C4A"/>
    <w:rsid w:val="00D51992"/>
    <w:rsid w:val="00D52F8C"/>
    <w:rsid w:val="00D55B6F"/>
    <w:rsid w:val="00D6739F"/>
    <w:rsid w:val="00D71817"/>
    <w:rsid w:val="00D844F8"/>
    <w:rsid w:val="00D9099C"/>
    <w:rsid w:val="00D90C2A"/>
    <w:rsid w:val="00D93F71"/>
    <w:rsid w:val="00D957C2"/>
    <w:rsid w:val="00DA3DA9"/>
    <w:rsid w:val="00DC5A92"/>
    <w:rsid w:val="00DD043B"/>
    <w:rsid w:val="00DF0BE1"/>
    <w:rsid w:val="00DF2B42"/>
    <w:rsid w:val="00DF622C"/>
    <w:rsid w:val="00E00504"/>
    <w:rsid w:val="00E10A35"/>
    <w:rsid w:val="00E13FC8"/>
    <w:rsid w:val="00E163A8"/>
    <w:rsid w:val="00E228A3"/>
    <w:rsid w:val="00E24511"/>
    <w:rsid w:val="00E32BEE"/>
    <w:rsid w:val="00E3538D"/>
    <w:rsid w:val="00E42FF8"/>
    <w:rsid w:val="00E432B9"/>
    <w:rsid w:val="00E43698"/>
    <w:rsid w:val="00E503AA"/>
    <w:rsid w:val="00E55950"/>
    <w:rsid w:val="00E55970"/>
    <w:rsid w:val="00E60ADD"/>
    <w:rsid w:val="00E618F9"/>
    <w:rsid w:val="00E65013"/>
    <w:rsid w:val="00E722C6"/>
    <w:rsid w:val="00E871F2"/>
    <w:rsid w:val="00E91994"/>
    <w:rsid w:val="00E953A2"/>
    <w:rsid w:val="00EB4397"/>
    <w:rsid w:val="00EB606A"/>
    <w:rsid w:val="00EB6782"/>
    <w:rsid w:val="00ED60E2"/>
    <w:rsid w:val="00EE2DE8"/>
    <w:rsid w:val="00EE403F"/>
    <w:rsid w:val="00F0326A"/>
    <w:rsid w:val="00F2277A"/>
    <w:rsid w:val="00F33330"/>
    <w:rsid w:val="00F33C3E"/>
    <w:rsid w:val="00F46F62"/>
    <w:rsid w:val="00F502A2"/>
    <w:rsid w:val="00F5419E"/>
    <w:rsid w:val="00F57B75"/>
    <w:rsid w:val="00F60949"/>
    <w:rsid w:val="00F70456"/>
    <w:rsid w:val="00F87A1C"/>
    <w:rsid w:val="00F910AF"/>
    <w:rsid w:val="00F97404"/>
    <w:rsid w:val="00FB1EE6"/>
    <w:rsid w:val="00FB5D55"/>
    <w:rsid w:val="00FC1D24"/>
    <w:rsid w:val="00FC4E68"/>
    <w:rsid w:val="00FC7DBD"/>
    <w:rsid w:val="00FD657C"/>
    <w:rsid w:val="00FE1E62"/>
    <w:rsid w:val="00FE3C58"/>
    <w:rsid w:val="00FE6FD7"/>
    <w:rsid w:val="00FF5D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EA85C51-3C5D-4624-89D7-AA78D5B5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numbering" w:customStyle="1" w:styleId="Aucuneliste2">
    <w:name w:val="Aucune liste2"/>
    <w:next w:val="Aucuneliste"/>
    <w:uiPriority w:val="99"/>
    <w:semiHidden/>
    <w:unhideWhenUsed/>
    <w:rsid w:val="00A91DAC"/>
  </w:style>
  <w:style w:type="table" w:customStyle="1" w:styleId="Grilledutableau3">
    <w:name w:val="Grille du tableau3"/>
    <w:basedOn w:val="TableauNormal"/>
    <w:next w:val="Grilledutableau"/>
    <w:uiPriority w:val="59"/>
    <w:rsid w:val="00A91DA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B91E26"/>
    <w:pPr>
      <w:bidi/>
      <w:spacing w:after="0" w:line="240" w:lineRule="auto"/>
      <w:ind w:left="2183" w:hanging="2183"/>
      <w:jc w:val="both"/>
    </w:pPr>
    <w:rPr>
      <w:rFonts w:ascii="Times New Roman" w:eastAsia="SimSun" w:hAnsi="Times New Roman" w:cs="Times New Roman"/>
      <w:sz w:val="32"/>
      <w:szCs w:val="32"/>
      <w:lang w:val="en-US" w:eastAsia="zh-CN" w:bidi="ar-TN"/>
    </w:rPr>
  </w:style>
  <w:style w:type="character" w:customStyle="1" w:styleId="RetraitcorpsdetexteCar">
    <w:name w:val="Retrait corps de texte Car"/>
    <w:basedOn w:val="Policepardfaut"/>
    <w:link w:val="Retraitcorpsdetexte"/>
    <w:rsid w:val="00B91E26"/>
    <w:rPr>
      <w:rFonts w:ascii="Times New Roman" w:eastAsia="SimSun" w:hAnsi="Times New Roman" w:cs="Times New Roman"/>
      <w:sz w:val="32"/>
      <w:szCs w:val="32"/>
      <w:lang w:eastAsia="zh-CN" w:bidi="ar-TN"/>
    </w:rPr>
  </w:style>
  <w:style w:type="paragraph" w:styleId="Retraitcorpsdetexte2">
    <w:name w:val="Body Text Indent 2"/>
    <w:basedOn w:val="Normal"/>
    <w:link w:val="Retraitcorpsdetexte2Car"/>
    <w:uiPriority w:val="99"/>
    <w:semiHidden/>
    <w:unhideWhenUsed/>
    <w:rsid w:val="00B91E26"/>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B91E26"/>
    <w:rPr>
      <w:sz w:val="22"/>
      <w:szCs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187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9E65B-C113-4E42-8C52-F5DD5BBDE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499</Words>
  <Characters>2748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DCAF Tunis</dc:creator>
  <cp:keywords/>
  <dc:description/>
  <cp:lastModifiedBy>ALIA</cp:lastModifiedBy>
  <cp:revision>3</cp:revision>
  <cp:lastPrinted>2016-05-03T14:11:00Z</cp:lastPrinted>
  <dcterms:created xsi:type="dcterms:W3CDTF">2016-05-03T14:11:00Z</dcterms:created>
  <dcterms:modified xsi:type="dcterms:W3CDTF">2016-05-03T14:12:00Z</dcterms:modified>
</cp:coreProperties>
</file>