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4BFA4" w14:textId="77777777" w:rsidR="00E310BF" w:rsidRPr="00E310BF" w:rsidRDefault="00E310BF" w:rsidP="00E310BF">
      <w:pPr>
        <w:spacing w:before="100" w:beforeAutospacing="1" w:after="0"/>
        <w:ind w:left="284"/>
        <w:jc w:val="both"/>
        <w:rPr>
          <w:rFonts w:ascii="Arial" w:hAnsi="Arial" w:cs="Arial"/>
          <w:b/>
          <w:bCs/>
          <w:sz w:val="24"/>
          <w:szCs w:val="24"/>
        </w:rPr>
      </w:pPr>
    </w:p>
    <w:p w14:paraId="6A2E3012" w14:textId="024CC17A"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b/>
          <w:bCs/>
          <w:sz w:val="24"/>
          <w:szCs w:val="24"/>
        </w:rPr>
        <w:t xml:space="preserve">Arrêté du chef du gouvernement du 30 avril 2014, portant création des commissions administratives paritaires </w:t>
      </w:r>
      <w:r>
        <w:rPr>
          <w:rFonts w:ascii="Arial" w:hAnsi="Arial" w:cs="Arial"/>
          <w:b/>
          <w:bCs/>
          <w:sz w:val="24"/>
          <w:szCs w:val="24"/>
        </w:rPr>
        <w:t>à la Présidence du gouvernement</w:t>
      </w:r>
    </w:p>
    <w:p w14:paraId="08F71E19"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Le chef du gouvernement, </w:t>
      </w:r>
    </w:p>
    <w:p w14:paraId="0B4A6CB8"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Vu la loi constituante n° 2011-6 du 16 décembre 2011, portant organisation provisoire des pouvoirs publics, telle que modifiée et complétée par la loi organique n° 2014-3 du 3 février 2014 et la loi organique n° 2014-4 du 5 février 2014,</w:t>
      </w:r>
    </w:p>
    <w:p w14:paraId="413974D5"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 </w:t>
      </w:r>
    </w:p>
    <w:p w14:paraId="5443ECBD"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Vu le décret n° 70-118 du 11 avril 1970, portant organisation des services du Premier ministère, ensemble les textes qui l'ont modifié ou complété,</w:t>
      </w:r>
    </w:p>
    <w:p w14:paraId="4CDDF4F0"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Vu le décret n° 90-1753 du 29 octobre 1990, fixant les modalités d'organisation et de fonctionnement des commissions administratives paritaires, tel qu'il a été modifié par le décret n° 2012-2937 du 27 novembre 2012, </w:t>
      </w:r>
    </w:p>
    <w:p w14:paraId="7DDF4338" w14:textId="33410B13" w:rsidR="00E310BF" w:rsidRPr="00E310BF" w:rsidRDefault="00E310BF" w:rsidP="00765EB5">
      <w:pPr>
        <w:spacing w:before="100" w:beforeAutospacing="1" w:after="0"/>
        <w:ind w:left="284"/>
        <w:jc w:val="both"/>
        <w:rPr>
          <w:rFonts w:ascii="Arial" w:hAnsi="Arial" w:cs="Arial"/>
          <w:sz w:val="20"/>
          <w:szCs w:val="20"/>
        </w:rPr>
      </w:pPr>
      <w:r w:rsidRPr="00E310BF">
        <w:rPr>
          <w:rFonts w:ascii="Arial" w:hAnsi="Arial" w:cs="Arial"/>
          <w:sz w:val="20"/>
          <w:szCs w:val="20"/>
        </w:rPr>
        <w:t xml:space="preserve">Vu le décret n° 98-834 du 13 avril 1998, fixant le statut particulier au corps administratif commun des administrations publiques, ensemble les textes qui l'ont modifié ou complété notamment le décret </w:t>
      </w:r>
      <w:r w:rsidR="00765EB5">
        <w:rPr>
          <w:rFonts w:ascii="Arial" w:hAnsi="Arial" w:cs="Arial"/>
          <w:sz w:val="20"/>
          <w:szCs w:val="20"/>
        </w:rPr>
        <w:t xml:space="preserve"> </w:t>
      </w:r>
      <w:r w:rsidRPr="00E310BF">
        <w:rPr>
          <w:rFonts w:ascii="Arial" w:hAnsi="Arial" w:cs="Arial"/>
          <w:sz w:val="20"/>
          <w:szCs w:val="20"/>
        </w:rPr>
        <w:t xml:space="preserve">n° 2012-2362 du 10 octobre 2012, </w:t>
      </w:r>
    </w:p>
    <w:p w14:paraId="7922C7D5" w14:textId="166435D0"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Vu le décret n° 98-1936 du 2 octobre 1998, fixant le statut particulier de</w:t>
      </w:r>
      <w:r w:rsidR="00765EB5">
        <w:rPr>
          <w:rFonts w:ascii="Arial" w:hAnsi="Arial" w:cs="Arial"/>
          <w:sz w:val="20"/>
          <w:szCs w:val="20"/>
        </w:rPr>
        <w:t xml:space="preserve">s agents temporaires de l'Etat </w:t>
      </w:r>
      <w:bookmarkStart w:id="0" w:name="_GoBack"/>
      <w:bookmarkEnd w:id="0"/>
      <w:r w:rsidRPr="00E310BF">
        <w:rPr>
          <w:rFonts w:ascii="Arial" w:hAnsi="Arial" w:cs="Arial"/>
          <w:sz w:val="20"/>
          <w:szCs w:val="20"/>
        </w:rPr>
        <w:t>des collectivités locales et des établissements publics à caractère administratif, ensemble les textes qui l'ont modifié ou complété,</w:t>
      </w:r>
    </w:p>
    <w:p w14:paraId="46592666"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Vu le décret n° 98-2509 du 18 décembre 1998, fixant le statut particulier au corps des ouvriers de l'Etat, des collectivités locales et des établissements publics à caractère administrative, </w:t>
      </w:r>
    </w:p>
    <w:p w14:paraId="6522DFCF"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Vu le décret n° 99-365 du 15 février 1999, fixant le statut particulier au corps des analystes et des techniciens de l'informatique des administrations publiques, ensemble les textes qui l'ont modifié ou complété, </w:t>
      </w:r>
    </w:p>
    <w:p w14:paraId="05F0F05A"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Vu le décret n° 99-675 du 29 mars 1999, fixant le statut particulier au corps des gestionnaires de documents et d'archives, </w:t>
      </w:r>
    </w:p>
    <w:p w14:paraId="0741729B"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Vu le décret n° 99-819 du 12 avril 1999, fixant le statut particulier au corps commun des ingénieurs des administrations publiques, tel qu'il a été modifié et complété par le décret n° 2001¬1748 du 1er août 2001, </w:t>
      </w:r>
    </w:p>
    <w:p w14:paraId="60A74C86" w14:textId="089702F5"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Vu le décret n° 99-821 du 12 avril 1999, fixant le statut particulier au corps technique commun des administrations publiques, ensemble les textes qui l'ont modifié ou complété notamment le décret </w:t>
      </w:r>
      <w:r>
        <w:rPr>
          <w:rFonts w:ascii="Arial" w:hAnsi="Arial" w:cs="Arial"/>
          <w:sz w:val="20"/>
          <w:szCs w:val="20"/>
        </w:rPr>
        <w:t xml:space="preserve"> </w:t>
      </w:r>
      <w:r w:rsidRPr="00E310BF">
        <w:rPr>
          <w:rFonts w:ascii="Arial" w:hAnsi="Arial" w:cs="Arial"/>
          <w:sz w:val="20"/>
          <w:szCs w:val="20"/>
        </w:rPr>
        <w:t>n° 2003-2633 du 23 décembre 2003,</w:t>
      </w:r>
    </w:p>
    <w:p w14:paraId="0D2F8E6B"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Vu le décret n° 99-2762 du 6 décembre 1999, fixant le statut particulier du corps des personnels des bibliothèques et de la documentation dans les administrations publiques, </w:t>
      </w:r>
    </w:p>
    <w:p w14:paraId="74775B43"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lastRenderedPageBreak/>
        <w:t xml:space="preserve">Vu le décret n° 2001-2305 du 2 octobre 2001, fixant le statut particulier du corps commun des journalistes exerçants dans les administrations publiques, </w:t>
      </w:r>
    </w:p>
    <w:p w14:paraId="21F5029E"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Vu le décret n° 2012-1683 du 22 août 2012, fixant le statut particulier des membres du corps du contrôle des dépenses publiques relevant de la Présidence du gouvernement,</w:t>
      </w:r>
    </w:p>
    <w:p w14:paraId="4F7222D1"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Vu le décret n° 2013-3232 du 12 août 2013, portant organisation et attributions du comité de contrôle des services publics et fixant le statut particulier de ses membres, </w:t>
      </w:r>
    </w:p>
    <w:p w14:paraId="68AE8756"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Vu le décret n° 2013-5093 du 22 novembre 2013, relatif au comité du contrôle d'Etat relevant de la Présidence du gouvernement et fixant le statut particulier de ses membres, </w:t>
      </w:r>
    </w:p>
    <w:p w14:paraId="0A8ADF2A"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Vu le décret n° 2013-5096 du 22 novembre 2013, portant création de la haute instance de la commande publique et fixant le statut particulier aux membres du corps des contrôleurs et réviseurs de la commande publique relevant de la Présidence du gouvernement, </w:t>
      </w:r>
    </w:p>
    <w:p w14:paraId="0C9FF779"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Vu l'arrêté du Premier ministre du 1er février 1988, portant création et de la composition des commissions administratives paritaires au Premier ministre, tel qu'il a été modifié par l'arrêté du 17 avril 2007 et l'arrêté du 24 mai 2011. </w:t>
      </w:r>
    </w:p>
    <w:p w14:paraId="6FE58CAF" w14:textId="77777777"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sz w:val="20"/>
          <w:szCs w:val="20"/>
        </w:rPr>
        <w:t xml:space="preserve">Arrête : </w:t>
      </w:r>
    </w:p>
    <w:p w14:paraId="54530A76" w14:textId="3D450874" w:rsidR="00E310BF" w:rsidRPr="00E310BF" w:rsidRDefault="00E310BF" w:rsidP="00E310BF">
      <w:pPr>
        <w:spacing w:before="100" w:beforeAutospacing="1" w:after="0"/>
        <w:ind w:left="284"/>
        <w:jc w:val="both"/>
        <w:rPr>
          <w:rFonts w:ascii="Arial" w:hAnsi="Arial" w:cs="Arial"/>
          <w:sz w:val="20"/>
          <w:szCs w:val="20"/>
        </w:rPr>
      </w:pPr>
      <w:r w:rsidRPr="00E310BF">
        <w:rPr>
          <w:rFonts w:ascii="Arial" w:hAnsi="Arial" w:cs="Arial"/>
          <w:b/>
          <w:bCs/>
          <w:i/>
          <w:iCs/>
          <w:sz w:val="20"/>
          <w:szCs w:val="20"/>
        </w:rPr>
        <w:t>Article premier –</w:t>
      </w:r>
      <w:r>
        <w:rPr>
          <w:rFonts w:ascii="Arial" w:hAnsi="Arial" w:cs="Arial"/>
          <w:sz w:val="20"/>
          <w:szCs w:val="20"/>
        </w:rPr>
        <w:t xml:space="preserve"> </w:t>
      </w:r>
      <w:r w:rsidRPr="00E310BF">
        <w:rPr>
          <w:rFonts w:ascii="Arial" w:hAnsi="Arial" w:cs="Arial"/>
          <w:sz w:val="20"/>
          <w:szCs w:val="20"/>
        </w:rPr>
        <w:t xml:space="preserve">Sont créées à la Présidence du gouvernement, des commissions administratives paritaires compétentes à l'égard des fonctionnaires et des ouvriers relevant de la Présidence du gouvernement appartenant aux grades et catégories ci-après désignés. </w:t>
      </w:r>
    </w:p>
    <w:p w14:paraId="79151BA0" w14:textId="1F9B34EB" w:rsidR="00E310BF" w:rsidRDefault="00E310BF" w:rsidP="00765EB5">
      <w:pPr>
        <w:spacing w:before="100" w:beforeAutospacing="1" w:after="0"/>
        <w:ind w:left="284"/>
        <w:jc w:val="both"/>
        <w:rPr>
          <w:rFonts w:ascii="Arial" w:hAnsi="Arial" w:cs="Arial"/>
          <w:sz w:val="20"/>
          <w:szCs w:val="20"/>
        </w:rPr>
      </w:pPr>
      <w:r w:rsidRPr="00E310BF">
        <w:rPr>
          <w:rFonts w:ascii="Arial" w:hAnsi="Arial" w:cs="Arial"/>
          <w:b/>
          <w:bCs/>
          <w:i/>
          <w:iCs/>
          <w:sz w:val="20"/>
          <w:szCs w:val="20"/>
        </w:rPr>
        <w:t>Art. 2 –</w:t>
      </w:r>
      <w:r>
        <w:rPr>
          <w:rFonts w:ascii="Arial" w:hAnsi="Arial" w:cs="Arial"/>
          <w:sz w:val="20"/>
          <w:szCs w:val="20"/>
        </w:rPr>
        <w:t xml:space="preserve"> </w:t>
      </w:r>
      <w:r w:rsidRPr="00E310BF">
        <w:rPr>
          <w:rFonts w:ascii="Arial" w:hAnsi="Arial" w:cs="Arial"/>
          <w:sz w:val="20"/>
          <w:szCs w:val="20"/>
        </w:rPr>
        <w:t>La composition des commissions administratives paritaires prévues à l'article 1er du présent arrêté est fixée comme suit :</w:t>
      </w:r>
    </w:p>
    <w:tbl>
      <w:tblPr>
        <w:tblStyle w:val="Grilledutableau"/>
        <w:tblW w:w="0" w:type="auto"/>
        <w:tblInd w:w="284" w:type="dxa"/>
        <w:tblLayout w:type="fixed"/>
        <w:tblLook w:val="04A0" w:firstRow="1" w:lastRow="0" w:firstColumn="1" w:lastColumn="0" w:noHBand="0" w:noVBand="1"/>
      </w:tblPr>
      <w:tblGrid>
        <w:gridCol w:w="533"/>
        <w:gridCol w:w="3260"/>
        <w:gridCol w:w="1134"/>
        <w:gridCol w:w="1459"/>
        <w:gridCol w:w="1376"/>
        <w:gridCol w:w="1418"/>
      </w:tblGrid>
      <w:tr w:rsidR="000D6B41" w:rsidRPr="00765EB5" w14:paraId="73B636FC" w14:textId="77777777" w:rsidTr="00765EB5">
        <w:trPr>
          <w:trHeight w:val="635"/>
        </w:trPr>
        <w:tc>
          <w:tcPr>
            <w:tcW w:w="533" w:type="dxa"/>
            <w:vMerge w:val="restart"/>
            <w:vAlign w:val="center"/>
          </w:tcPr>
          <w:p w14:paraId="502B7556" w14:textId="755D24E1" w:rsidR="000D6B41" w:rsidRPr="00765EB5" w:rsidRDefault="000D6B41" w:rsidP="00765EB5">
            <w:pPr>
              <w:spacing w:before="100" w:beforeAutospacing="1" w:after="0"/>
              <w:jc w:val="center"/>
              <w:rPr>
                <w:rFonts w:ascii="Arial" w:hAnsi="Arial" w:cs="Arial"/>
                <w:b/>
                <w:bCs/>
                <w:sz w:val="20"/>
                <w:szCs w:val="20"/>
              </w:rPr>
            </w:pPr>
            <w:r w:rsidRPr="00765EB5">
              <w:rPr>
                <w:rFonts w:ascii="Arial" w:hAnsi="Arial" w:cs="Arial"/>
                <w:b/>
                <w:bCs/>
                <w:sz w:val="20"/>
                <w:szCs w:val="20"/>
              </w:rPr>
              <w:t>ND</w:t>
            </w:r>
          </w:p>
        </w:tc>
        <w:tc>
          <w:tcPr>
            <w:tcW w:w="3260" w:type="dxa"/>
            <w:vMerge w:val="restart"/>
            <w:vAlign w:val="center"/>
          </w:tcPr>
          <w:p w14:paraId="2E414DAB" w14:textId="6454B241" w:rsidR="000D6B41" w:rsidRPr="00765EB5" w:rsidRDefault="000D6B41" w:rsidP="00765EB5">
            <w:pPr>
              <w:spacing w:before="100" w:beforeAutospacing="1" w:after="0"/>
              <w:jc w:val="center"/>
              <w:rPr>
                <w:rFonts w:ascii="Arial" w:hAnsi="Arial" w:cs="Arial"/>
                <w:b/>
                <w:bCs/>
                <w:sz w:val="20"/>
                <w:szCs w:val="20"/>
              </w:rPr>
            </w:pPr>
            <w:r w:rsidRPr="00765EB5">
              <w:rPr>
                <w:rFonts w:ascii="Arial" w:hAnsi="Arial" w:cs="Arial"/>
                <w:b/>
                <w:bCs/>
                <w:sz w:val="20"/>
                <w:szCs w:val="20"/>
              </w:rPr>
              <w:t>Grades</w:t>
            </w:r>
          </w:p>
        </w:tc>
        <w:tc>
          <w:tcPr>
            <w:tcW w:w="2593" w:type="dxa"/>
            <w:gridSpan w:val="2"/>
            <w:vAlign w:val="center"/>
          </w:tcPr>
          <w:p w14:paraId="25C4D59F" w14:textId="20474580" w:rsidR="000D6B41" w:rsidRPr="00765EB5" w:rsidRDefault="000D6B41" w:rsidP="00765EB5">
            <w:pPr>
              <w:spacing w:before="100" w:beforeAutospacing="1" w:after="0"/>
              <w:jc w:val="center"/>
              <w:rPr>
                <w:rFonts w:ascii="Arial" w:hAnsi="Arial" w:cs="Arial"/>
                <w:b/>
                <w:bCs/>
                <w:sz w:val="20"/>
                <w:szCs w:val="20"/>
              </w:rPr>
            </w:pPr>
            <w:r w:rsidRPr="00765EB5">
              <w:rPr>
                <w:rFonts w:ascii="Arial" w:hAnsi="Arial" w:cs="Arial"/>
                <w:b/>
                <w:bCs/>
                <w:sz w:val="20"/>
                <w:szCs w:val="20"/>
              </w:rPr>
              <w:t>Représentants de l’administration</w:t>
            </w:r>
          </w:p>
        </w:tc>
        <w:tc>
          <w:tcPr>
            <w:tcW w:w="2794" w:type="dxa"/>
            <w:gridSpan w:val="2"/>
            <w:vAlign w:val="center"/>
          </w:tcPr>
          <w:p w14:paraId="4B616D98" w14:textId="694209D4" w:rsidR="000D6B41" w:rsidRPr="00765EB5" w:rsidRDefault="000D6B41" w:rsidP="00765EB5">
            <w:pPr>
              <w:spacing w:before="100" w:beforeAutospacing="1" w:after="0"/>
              <w:jc w:val="center"/>
              <w:rPr>
                <w:rFonts w:ascii="Arial" w:hAnsi="Arial" w:cs="Arial"/>
                <w:b/>
                <w:bCs/>
                <w:sz w:val="20"/>
                <w:szCs w:val="20"/>
              </w:rPr>
            </w:pPr>
            <w:r w:rsidRPr="00765EB5">
              <w:rPr>
                <w:rFonts w:ascii="Arial" w:hAnsi="Arial" w:cs="Arial"/>
                <w:b/>
                <w:bCs/>
                <w:sz w:val="20"/>
                <w:szCs w:val="20"/>
              </w:rPr>
              <w:t>Représentant du personnel</w:t>
            </w:r>
          </w:p>
        </w:tc>
      </w:tr>
      <w:tr w:rsidR="000D6B41" w:rsidRPr="00765EB5" w14:paraId="337A6C88" w14:textId="77777777" w:rsidTr="00765EB5">
        <w:tc>
          <w:tcPr>
            <w:tcW w:w="533" w:type="dxa"/>
            <w:vMerge/>
            <w:vAlign w:val="center"/>
          </w:tcPr>
          <w:p w14:paraId="3068486D" w14:textId="77777777" w:rsidR="000D6B41" w:rsidRPr="00765EB5" w:rsidRDefault="000D6B41" w:rsidP="00765EB5">
            <w:pPr>
              <w:spacing w:before="100" w:beforeAutospacing="1" w:after="0"/>
              <w:jc w:val="center"/>
              <w:rPr>
                <w:rFonts w:ascii="Arial" w:hAnsi="Arial" w:cs="Arial"/>
                <w:b/>
                <w:bCs/>
                <w:sz w:val="20"/>
                <w:szCs w:val="20"/>
              </w:rPr>
            </w:pPr>
          </w:p>
        </w:tc>
        <w:tc>
          <w:tcPr>
            <w:tcW w:w="3260" w:type="dxa"/>
            <w:vMerge/>
            <w:vAlign w:val="center"/>
          </w:tcPr>
          <w:p w14:paraId="2BAF4036" w14:textId="77777777" w:rsidR="000D6B41" w:rsidRPr="00765EB5" w:rsidRDefault="000D6B41" w:rsidP="00765EB5">
            <w:pPr>
              <w:spacing w:before="100" w:beforeAutospacing="1" w:after="0"/>
              <w:jc w:val="center"/>
              <w:rPr>
                <w:rFonts w:ascii="Arial" w:hAnsi="Arial" w:cs="Arial"/>
                <w:b/>
                <w:bCs/>
                <w:sz w:val="20"/>
                <w:szCs w:val="20"/>
              </w:rPr>
            </w:pPr>
          </w:p>
        </w:tc>
        <w:tc>
          <w:tcPr>
            <w:tcW w:w="1134" w:type="dxa"/>
            <w:vAlign w:val="center"/>
          </w:tcPr>
          <w:p w14:paraId="7D3F1D72" w14:textId="2234A901" w:rsidR="000D6B41" w:rsidRPr="00765EB5" w:rsidRDefault="000D6B41" w:rsidP="00765EB5">
            <w:pPr>
              <w:spacing w:before="100" w:beforeAutospacing="1" w:after="0"/>
              <w:jc w:val="center"/>
              <w:rPr>
                <w:rFonts w:ascii="Arial" w:hAnsi="Arial" w:cs="Arial"/>
                <w:b/>
                <w:bCs/>
                <w:sz w:val="20"/>
                <w:szCs w:val="20"/>
              </w:rPr>
            </w:pPr>
            <w:r w:rsidRPr="00765EB5">
              <w:rPr>
                <w:rFonts w:ascii="Arial" w:hAnsi="Arial" w:cs="Arial"/>
                <w:b/>
                <w:bCs/>
                <w:sz w:val="20"/>
                <w:szCs w:val="20"/>
              </w:rPr>
              <w:t>Titulaires</w:t>
            </w:r>
          </w:p>
        </w:tc>
        <w:tc>
          <w:tcPr>
            <w:tcW w:w="1459" w:type="dxa"/>
            <w:vAlign w:val="center"/>
          </w:tcPr>
          <w:p w14:paraId="7959A9B4" w14:textId="243875EE" w:rsidR="000D6B41" w:rsidRPr="00765EB5" w:rsidRDefault="000D6B41" w:rsidP="00765EB5">
            <w:pPr>
              <w:spacing w:before="100" w:beforeAutospacing="1" w:after="0"/>
              <w:jc w:val="center"/>
              <w:rPr>
                <w:rFonts w:ascii="Arial" w:hAnsi="Arial" w:cs="Arial"/>
                <w:b/>
                <w:bCs/>
                <w:sz w:val="20"/>
                <w:szCs w:val="20"/>
              </w:rPr>
            </w:pPr>
            <w:r w:rsidRPr="00765EB5">
              <w:rPr>
                <w:rFonts w:ascii="Arial" w:hAnsi="Arial" w:cs="Arial"/>
                <w:b/>
                <w:bCs/>
                <w:sz w:val="20"/>
                <w:szCs w:val="20"/>
              </w:rPr>
              <w:t>Suppléants</w:t>
            </w:r>
          </w:p>
        </w:tc>
        <w:tc>
          <w:tcPr>
            <w:tcW w:w="1376" w:type="dxa"/>
            <w:vAlign w:val="center"/>
          </w:tcPr>
          <w:p w14:paraId="7FD05200" w14:textId="257FEB0D" w:rsidR="000D6B41" w:rsidRPr="00765EB5" w:rsidRDefault="000D6B41" w:rsidP="00765EB5">
            <w:pPr>
              <w:spacing w:before="100" w:beforeAutospacing="1" w:after="0"/>
              <w:jc w:val="center"/>
              <w:rPr>
                <w:rFonts w:ascii="Arial" w:hAnsi="Arial" w:cs="Arial"/>
                <w:b/>
                <w:bCs/>
                <w:sz w:val="20"/>
                <w:szCs w:val="20"/>
              </w:rPr>
            </w:pPr>
            <w:r w:rsidRPr="00765EB5">
              <w:rPr>
                <w:rFonts w:ascii="Arial" w:hAnsi="Arial" w:cs="Arial"/>
                <w:b/>
                <w:bCs/>
                <w:sz w:val="20"/>
                <w:szCs w:val="20"/>
              </w:rPr>
              <w:t>Titulaires</w:t>
            </w:r>
          </w:p>
        </w:tc>
        <w:tc>
          <w:tcPr>
            <w:tcW w:w="1418" w:type="dxa"/>
            <w:vAlign w:val="center"/>
          </w:tcPr>
          <w:p w14:paraId="75E6D4B0" w14:textId="37690DD1" w:rsidR="000D6B41" w:rsidRPr="00765EB5" w:rsidRDefault="000D6B41" w:rsidP="00765EB5">
            <w:pPr>
              <w:spacing w:before="100" w:beforeAutospacing="1" w:after="0"/>
              <w:jc w:val="center"/>
              <w:rPr>
                <w:rFonts w:ascii="Arial" w:hAnsi="Arial" w:cs="Arial"/>
                <w:b/>
                <w:bCs/>
                <w:sz w:val="20"/>
                <w:szCs w:val="20"/>
              </w:rPr>
            </w:pPr>
            <w:r w:rsidRPr="00765EB5">
              <w:rPr>
                <w:rFonts w:ascii="Arial" w:hAnsi="Arial" w:cs="Arial"/>
                <w:b/>
                <w:bCs/>
                <w:sz w:val="20"/>
                <w:szCs w:val="20"/>
              </w:rPr>
              <w:t>Suppléants</w:t>
            </w:r>
          </w:p>
        </w:tc>
      </w:tr>
      <w:tr w:rsidR="00765EB5" w14:paraId="7FD1E7E6" w14:textId="77777777" w:rsidTr="00765EB5">
        <w:tc>
          <w:tcPr>
            <w:tcW w:w="533" w:type="dxa"/>
            <w:vAlign w:val="center"/>
          </w:tcPr>
          <w:p w14:paraId="7AA27C56" w14:textId="16C2D152"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1</w:t>
            </w:r>
          </w:p>
        </w:tc>
        <w:tc>
          <w:tcPr>
            <w:tcW w:w="3260" w:type="dxa"/>
          </w:tcPr>
          <w:p w14:paraId="4688F4C4" w14:textId="7496014E" w:rsidR="00765EB5" w:rsidRDefault="00765EB5" w:rsidP="00E310BF">
            <w:pPr>
              <w:spacing w:before="100" w:beforeAutospacing="1" w:after="0"/>
              <w:jc w:val="both"/>
              <w:rPr>
                <w:rFonts w:ascii="Arial" w:hAnsi="Arial" w:cs="Arial"/>
                <w:sz w:val="20"/>
                <w:szCs w:val="20"/>
              </w:rPr>
            </w:pPr>
            <w:r>
              <w:rPr>
                <w:rFonts w:ascii="Arial" w:hAnsi="Arial" w:cs="Arial"/>
                <w:sz w:val="20"/>
                <w:szCs w:val="20"/>
              </w:rPr>
              <w:t xml:space="preserve">Contrôleur général et contrôleur en chef de la commande publique </w:t>
            </w:r>
          </w:p>
        </w:tc>
        <w:tc>
          <w:tcPr>
            <w:tcW w:w="1134" w:type="dxa"/>
            <w:vAlign w:val="center"/>
          </w:tcPr>
          <w:p w14:paraId="0F22D0E8" w14:textId="103B7AAC"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45B5159E" w14:textId="6093FE89"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4F0B3739" w14:textId="346C56C6"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7C5263F7" w14:textId="045174C4" w:rsidR="00765EB5" w:rsidRDefault="00765EB5" w:rsidP="00765EB5">
            <w:pPr>
              <w:spacing w:before="100" w:beforeAutospacing="1" w:after="0"/>
              <w:jc w:val="center"/>
              <w:rPr>
                <w:rFonts w:ascii="Arial" w:hAnsi="Arial" w:cs="Arial"/>
                <w:sz w:val="20"/>
                <w:szCs w:val="20"/>
              </w:rPr>
            </w:pPr>
            <w:r w:rsidRPr="009E2687">
              <w:t>2</w:t>
            </w:r>
          </w:p>
        </w:tc>
      </w:tr>
      <w:tr w:rsidR="00765EB5" w14:paraId="2B06F49B" w14:textId="77777777" w:rsidTr="00765EB5">
        <w:tc>
          <w:tcPr>
            <w:tcW w:w="533" w:type="dxa"/>
            <w:vAlign w:val="center"/>
          </w:tcPr>
          <w:p w14:paraId="32BA556C" w14:textId="4AE4ED56"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3260" w:type="dxa"/>
          </w:tcPr>
          <w:p w14:paraId="316BD53F" w14:textId="5ACE2B3A" w:rsidR="00765EB5" w:rsidRDefault="00765EB5" w:rsidP="00E310BF">
            <w:pPr>
              <w:spacing w:before="100" w:beforeAutospacing="1" w:after="0"/>
              <w:jc w:val="both"/>
              <w:rPr>
                <w:rFonts w:ascii="Arial" w:hAnsi="Arial" w:cs="Arial"/>
                <w:sz w:val="20"/>
                <w:szCs w:val="20"/>
              </w:rPr>
            </w:pPr>
            <w:r>
              <w:rPr>
                <w:rFonts w:ascii="Arial" w:hAnsi="Arial" w:cs="Arial"/>
                <w:sz w:val="20"/>
                <w:szCs w:val="20"/>
              </w:rPr>
              <w:t xml:space="preserve">Contrôleur général d’Etat et contrôleur en chef d’Etat </w:t>
            </w:r>
          </w:p>
        </w:tc>
        <w:tc>
          <w:tcPr>
            <w:tcW w:w="1134" w:type="dxa"/>
            <w:vAlign w:val="center"/>
          </w:tcPr>
          <w:p w14:paraId="10E09088" w14:textId="54DDCA89"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12155F31" w14:textId="2898B360"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58F18D9A" w14:textId="3B49B53C"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45D22CA1" w14:textId="43F92944" w:rsidR="00765EB5" w:rsidRDefault="00765EB5" w:rsidP="00765EB5">
            <w:pPr>
              <w:spacing w:before="100" w:beforeAutospacing="1" w:after="0"/>
              <w:jc w:val="center"/>
              <w:rPr>
                <w:rFonts w:ascii="Arial" w:hAnsi="Arial" w:cs="Arial"/>
                <w:sz w:val="20"/>
                <w:szCs w:val="20"/>
              </w:rPr>
            </w:pPr>
            <w:r w:rsidRPr="009E2687">
              <w:t>2</w:t>
            </w:r>
          </w:p>
        </w:tc>
      </w:tr>
      <w:tr w:rsidR="00765EB5" w14:paraId="671DC510" w14:textId="77777777" w:rsidTr="00765EB5">
        <w:tc>
          <w:tcPr>
            <w:tcW w:w="533" w:type="dxa"/>
            <w:vAlign w:val="center"/>
          </w:tcPr>
          <w:p w14:paraId="44E2A929" w14:textId="4B71DF12"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3</w:t>
            </w:r>
          </w:p>
        </w:tc>
        <w:tc>
          <w:tcPr>
            <w:tcW w:w="3260" w:type="dxa"/>
          </w:tcPr>
          <w:p w14:paraId="46807557" w14:textId="2E16860B" w:rsidR="00765EB5" w:rsidRDefault="00765EB5" w:rsidP="00E310BF">
            <w:pPr>
              <w:spacing w:before="100" w:beforeAutospacing="1" w:after="0"/>
              <w:jc w:val="both"/>
              <w:rPr>
                <w:rFonts w:ascii="Arial" w:hAnsi="Arial" w:cs="Arial"/>
                <w:sz w:val="20"/>
                <w:szCs w:val="20"/>
              </w:rPr>
            </w:pPr>
            <w:r w:rsidRPr="000D6B41">
              <w:rPr>
                <w:rFonts w:ascii="Arial" w:hAnsi="Arial" w:cs="Arial"/>
                <w:sz w:val="20"/>
                <w:szCs w:val="20"/>
              </w:rPr>
              <w:t>Contrôleur général d’Etat et contrôleur en chef de dépenses publiques</w:t>
            </w:r>
          </w:p>
        </w:tc>
        <w:tc>
          <w:tcPr>
            <w:tcW w:w="1134" w:type="dxa"/>
            <w:vAlign w:val="center"/>
          </w:tcPr>
          <w:p w14:paraId="49227694" w14:textId="5BAFD07F"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4A2BDBCA" w14:textId="0526290B"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0F9BADED" w14:textId="15BA8755"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626C12E5" w14:textId="48B0FA08" w:rsidR="00765EB5" w:rsidRDefault="00765EB5" w:rsidP="00765EB5">
            <w:pPr>
              <w:spacing w:before="100" w:beforeAutospacing="1" w:after="0"/>
              <w:jc w:val="center"/>
              <w:rPr>
                <w:rFonts w:ascii="Arial" w:hAnsi="Arial" w:cs="Arial"/>
                <w:sz w:val="20"/>
                <w:szCs w:val="20"/>
              </w:rPr>
            </w:pPr>
            <w:r w:rsidRPr="009E2687">
              <w:t>2</w:t>
            </w:r>
          </w:p>
        </w:tc>
      </w:tr>
      <w:tr w:rsidR="00765EB5" w14:paraId="0BF8E3FB" w14:textId="77777777" w:rsidTr="00765EB5">
        <w:tc>
          <w:tcPr>
            <w:tcW w:w="533" w:type="dxa"/>
            <w:vAlign w:val="center"/>
          </w:tcPr>
          <w:p w14:paraId="7C1DE9E6" w14:textId="6A87A5C8"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4</w:t>
            </w:r>
          </w:p>
        </w:tc>
        <w:tc>
          <w:tcPr>
            <w:tcW w:w="3260" w:type="dxa"/>
          </w:tcPr>
          <w:p w14:paraId="22A31CC2" w14:textId="4B014776" w:rsidR="00765EB5" w:rsidRDefault="00765EB5" w:rsidP="00E310BF">
            <w:pPr>
              <w:spacing w:before="100" w:beforeAutospacing="1" w:after="0"/>
              <w:jc w:val="both"/>
              <w:rPr>
                <w:rFonts w:ascii="Arial" w:hAnsi="Arial" w:cs="Arial"/>
                <w:sz w:val="20"/>
                <w:szCs w:val="20"/>
              </w:rPr>
            </w:pPr>
            <w:r>
              <w:rPr>
                <w:rFonts w:ascii="Arial" w:hAnsi="Arial" w:cs="Arial"/>
                <w:sz w:val="20"/>
                <w:szCs w:val="20"/>
              </w:rPr>
              <w:t>Contrôleur général et contrôleur en chef des services publics</w:t>
            </w:r>
          </w:p>
        </w:tc>
        <w:tc>
          <w:tcPr>
            <w:tcW w:w="1134" w:type="dxa"/>
            <w:vAlign w:val="center"/>
          </w:tcPr>
          <w:p w14:paraId="66931039" w14:textId="02DE731B"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32E23B11" w14:textId="24014332"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2C00C548" w14:textId="2FE674C3"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349D2749" w14:textId="4874E710" w:rsidR="00765EB5" w:rsidRDefault="00765EB5" w:rsidP="00765EB5">
            <w:pPr>
              <w:spacing w:before="100" w:beforeAutospacing="1" w:after="0"/>
              <w:jc w:val="center"/>
              <w:rPr>
                <w:rFonts w:ascii="Arial" w:hAnsi="Arial" w:cs="Arial"/>
                <w:sz w:val="20"/>
                <w:szCs w:val="20"/>
              </w:rPr>
            </w:pPr>
            <w:r w:rsidRPr="009E2687">
              <w:t>2</w:t>
            </w:r>
          </w:p>
        </w:tc>
      </w:tr>
      <w:tr w:rsidR="00765EB5" w14:paraId="0CDEFBCC" w14:textId="77777777" w:rsidTr="00765EB5">
        <w:tc>
          <w:tcPr>
            <w:tcW w:w="533" w:type="dxa"/>
            <w:vAlign w:val="center"/>
          </w:tcPr>
          <w:p w14:paraId="664EBA18" w14:textId="70EFC73D"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5</w:t>
            </w:r>
          </w:p>
        </w:tc>
        <w:tc>
          <w:tcPr>
            <w:tcW w:w="3260" w:type="dxa"/>
          </w:tcPr>
          <w:p w14:paraId="75462779" w14:textId="1E942EF7" w:rsidR="00765EB5" w:rsidRDefault="00765EB5" w:rsidP="00E310BF">
            <w:pPr>
              <w:spacing w:before="100" w:beforeAutospacing="1" w:after="0"/>
              <w:jc w:val="both"/>
              <w:rPr>
                <w:rFonts w:ascii="Arial" w:hAnsi="Arial" w:cs="Arial"/>
                <w:sz w:val="20"/>
                <w:szCs w:val="20"/>
              </w:rPr>
            </w:pPr>
            <w:r>
              <w:rPr>
                <w:rFonts w:ascii="Arial" w:hAnsi="Arial" w:cs="Arial"/>
                <w:sz w:val="20"/>
                <w:szCs w:val="20"/>
              </w:rPr>
              <w:t xml:space="preserve">Contrôleur et contrôleur adjoint de la commande publics </w:t>
            </w:r>
          </w:p>
        </w:tc>
        <w:tc>
          <w:tcPr>
            <w:tcW w:w="1134" w:type="dxa"/>
            <w:vAlign w:val="center"/>
          </w:tcPr>
          <w:p w14:paraId="1F65375C" w14:textId="2AF2738E"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09097534" w14:textId="5F7B917B"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4AE208E2" w14:textId="371A2F1D"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5C7B9A65" w14:textId="47D128B4" w:rsidR="00765EB5" w:rsidRDefault="00765EB5" w:rsidP="00765EB5">
            <w:pPr>
              <w:spacing w:before="100" w:beforeAutospacing="1" w:after="0"/>
              <w:jc w:val="center"/>
              <w:rPr>
                <w:rFonts w:ascii="Arial" w:hAnsi="Arial" w:cs="Arial"/>
                <w:sz w:val="20"/>
                <w:szCs w:val="20"/>
              </w:rPr>
            </w:pPr>
            <w:r w:rsidRPr="009E2687">
              <w:t>2</w:t>
            </w:r>
          </w:p>
        </w:tc>
      </w:tr>
      <w:tr w:rsidR="00765EB5" w14:paraId="291EBE40" w14:textId="77777777" w:rsidTr="00765EB5">
        <w:tc>
          <w:tcPr>
            <w:tcW w:w="533" w:type="dxa"/>
            <w:vAlign w:val="center"/>
          </w:tcPr>
          <w:p w14:paraId="616E7230" w14:textId="39BB6A58"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6</w:t>
            </w:r>
          </w:p>
        </w:tc>
        <w:tc>
          <w:tcPr>
            <w:tcW w:w="3260" w:type="dxa"/>
          </w:tcPr>
          <w:p w14:paraId="651F744D" w14:textId="25140EC5" w:rsidR="00765EB5" w:rsidRDefault="00765EB5" w:rsidP="00E310BF">
            <w:pPr>
              <w:spacing w:before="100" w:beforeAutospacing="1" w:after="0"/>
              <w:jc w:val="both"/>
              <w:rPr>
                <w:rFonts w:ascii="Arial" w:hAnsi="Arial" w:cs="Arial"/>
                <w:sz w:val="20"/>
                <w:szCs w:val="20"/>
              </w:rPr>
            </w:pPr>
            <w:r>
              <w:rPr>
                <w:rFonts w:ascii="Arial" w:hAnsi="Arial" w:cs="Arial"/>
                <w:sz w:val="20"/>
                <w:szCs w:val="20"/>
              </w:rPr>
              <w:t xml:space="preserve">Contrôleur d’Etat et contrôleur adjoint d’Etat </w:t>
            </w:r>
          </w:p>
        </w:tc>
        <w:tc>
          <w:tcPr>
            <w:tcW w:w="1134" w:type="dxa"/>
            <w:vAlign w:val="center"/>
          </w:tcPr>
          <w:p w14:paraId="02BD9826" w14:textId="3247D087"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3E82AC0B" w14:textId="2288FDFE"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360EEB5B" w14:textId="028E2FF3"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7567C5DE" w14:textId="3E135DB4" w:rsidR="00765EB5" w:rsidRDefault="00765EB5" w:rsidP="00765EB5">
            <w:pPr>
              <w:spacing w:before="100" w:beforeAutospacing="1" w:after="0"/>
              <w:jc w:val="center"/>
              <w:rPr>
                <w:rFonts w:ascii="Arial" w:hAnsi="Arial" w:cs="Arial"/>
                <w:sz w:val="20"/>
                <w:szCs w:val="20"/>
              </w:rPr>
            </w:pPr>
            <w:r w:rsidRPr="009E2687">
              <w:t>2</w:t>
            </w:r>
          </w:p>
        </w:tc>
      </w:tr>
      <w:tr w:rsidR="00765EB5" w14:paraId="769D33F1" w14:textId="77777777" w:rsidTr="00765EB5">
        <w:tc>
          <w:tcPr>
            <w:tcW w:w="533" w:type="dxa"/>
            <w:vAlign w:val="center"/>
          </w:tcPr>
          <w:p w14:paraId="1B75669B" w14:textId="65EB7D1F"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7</w:t>
            </w:r>
          </w:p>
        </w:tc>
        <w:tc>
          <w:tcPr>
            <w:tcW w:w="3260" w:type="dxa"/>
          </w:tcPr>
          <w:p w14:paraId="01EE1B7C" w14:textId="7F168579" w:rsidR="00765EB5" w:rsidRDefault="00765EB5" w:rsidP="00C91F3C">
            <w:pPr>
              <w:spacing w:before="100" w:beforeAutospacing="1" w:after="0"/>
              <w:jc w:val="both"/>
              <w:rPr>
                <w:rFonts w:ascii="Arial" w:hAnsi="Arial" w:cs="Arial"/>
                <w:sz w:val="20"/>
                <w:szCs w:val="20"/>
              </w:rPr>
            </w:pPr>
            <w:r>
              <w:rPr>
                <w:rFonts w:ascii="Arial" w:hAnsi="Arial" w:cs="Arial"/>
                <w:sz w:val="20"/>
                <w:szCs w:val="20"/>
              </w:rPr>
              <w:t xml:space="preserve">Contrôleur principal et contrôleur des dépenses publiques </w:t>
            </w:r>
          </w:p>
        </w:tc>
        <w:tc>
          <w:tcPr>
            <w:tcW w:w="1134" w:type="dxa"/>
            <w:vAlign w:val="center"/>
          </w:tcPr>
          <w:p w14:paraId="26A108FD" w14:textId="092E522E"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0AE29A72" w14:textId="7C84B8BC"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324BCB4D" w14:textId="23D22A89"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20C3122E" w14:textId="07FE93D7" w:rsidR="00765EB5" w:rsidRDefault="00765EB5" w:rsidP="00765EB5">
            <w:pPr>
              <w:spacing w:before="100" w:beforeAutospacing="1" w:after="0"/>
              <w:jc w:val="center"/>
              <w:rPr>
                <w:rFonts w:ascii="Arial" w:hAnsi="Arial" w:cs="Arial"/>
                <w:sz w:val="20"/>
                <w:szCs w:val="20"/>
              </w:rPr>
            </w:pPr>
            <w:r w:rsidRPr="009E2687">
              <w:t>2</w:t>
            </w:r>
          </w:p>
        </w:tc>
      </w:tr>
      <w:tr w:rsidR="00765EB5" w14:paraId="5EBB2175" w14:textId="77777777" w:rsidTr="00765EB5">
        <w:tc>
          <w:tcPr>
            <w:tcW w:w="533" w:type="dxa"/>
            <w:vAlign w:val="center"/>
          </w:tcPr>
          <w:p w14:paraId="07DE9E76" w14:textId="162BEF39"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8</w:t>
            </w:r>
          </w:p>
        </w:tc>
        <w:tc>
          <w:tcPr>
            <w:tcW w:w="3260" w:type="dxa"/>
          </w:tcPr>
          <w:p w14:paraId="0271DCBA" w14:textId="6D2B3386" w:rsidR="00765EB5" w:rsidRDefault="00765EB5" w:rsidP="00E310BF">
            <w:pPr>
              <w:spacing w:before="100" w:beforeAutospacing="1" w:after="0"/>
              <w:jc w:val="both"/>
              <w:rPr>
                <w:rFonts w:ascii="Arial" w:hAnsi="Arial" w:cs="Arial"/>
                <w:sz w:val="20"/>
                <w:szCs w:val="20"/>
              </w:rPr>
            </w:pPr>
            <w:r>
              <w:rPr>
                <w:rFonts w:ascii="Arial" w:hAnsi="Arial" w:cs="Arial"/>
                <w:sz w:val="20"/>
                <w:szCs w:val="20"/>
              </w:rPr>
              <w:t xml:space="preserve">Contrôleur et contrôleur adjoint des services publics </w:t>
            </w:r>
          </w:p>
        </w:tc>
        <w:tc>
          <w:tcPr>
            <w:tcW w:w="1134" w:type="dxa"/>
            <w:vAlign w:val="center"/>
          </w:tcPr>
          <w:p w14:paraId="652D8676" w14:textId="51136389"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1E8C543C" w14:textId="0AAFFEBC"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0888337A" w14:textId="50B69885"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6C2B9334" w14:textId="4C7A6397" w:rsidR="00765EB5" w:rsidRDefault="00765EB5" w:rsidP="00765EB5">
            <w:pPr>
              <w:spacing w:before="100" w:beforeAutospacing="1" w:after="0"/>
              <w:jc w:val="center"/>
              <w:rPr>
                <w:rFonts w:ascii="Arial" w:hAnsi="Arial" w:cs="Arial"/>
                <w:sz w:val="20"/>
                <w:szCs w:val="20"/>
              </w:rPr>
            </w:pPr>
            <w:r w:rsidRPr="009E2687">
              <w:t>2</w:t>
            </w:r>
          </w:p>
        </w:tc>
      </w:tr>
      <w:tr w:rsidR="00765EB5" w14:paraId="2B3D7C9A" w14:textId="77777777" w:rsidTr="00765EB5">
        <w:tc>
          <w:tcPr>
            <w:tcW w:w="533" w:type="dxa"/>
            <w:vAlign w:val="center"/>
          </w:tcPr>
          <w:p w14:paraId="4BFF712D" w14:textId="2E8512D5"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9</w:t>
            </w:r>
          </w:p>
        </w:tc>
        <w:tc>
          <w:tcPr>
            <w:tcW w:w="3260" w:type="dxa"/>
          </w:tcPr>
          <w:p w14:paraId="21A5A5DD" w14:textId="12D813DD" w:rsidR="00765EB5" w:rsidRDefault="00765EB5" w:rsidP="00765EB5">
            <w:pPr>
              <w:spacing w:before="100" w:beforeAutospacing="1" w:after="0"/>
              <w:jc w:val="both"/>
              <w:rPr>
                <w:rFonts w:ascii="Arial" w:hAnsi="Arial" w:cs="Arial"/>
                <w:sz w:val="20"/>
                <w:szCs w:val="20"/>
              </w:rPr>
            </w:pPr>
            <w:r>
              <w:rPr>
                <w:rFonts w:ascii="Arial" w:hAnsi="Arial" w:cs="Arial"/>
                <w:sz w:val="20"/>
                <w:szCs w:val="20"/>
              </w:rPr>
              <w:t>Administrateur général administrateur en chef et administrateur conseiller ou grade équivalant de corps particulier</w:t>
            </w:r>
          </w:p>
        </w:tc>
        <w:tc>
          <w:tcPr>
            <w:tcW w:w="1134" w:type="dxa"/>
            <w:vAlign w:val="center"/>
          </w:tcPr>
          <w:p w14:paraId="6AD8D2F1" w14:textId="6FDE5AC7"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1B216894" w14:textId="1CCC1E22"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6BB5C75C" w14:textId="0806137E"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37AE0D35" w14:textId="0E4B7272" w:rsidR="00765EB5" w:rsidRDefault="00765EB5" w:rsidP="00765EB5">
            <w:pPr>
              <w:spacing w:before="100" w:beforeAutospacing="1" w:after="0"/>
              <w:jc w:val="center"/>
              <w:rPr>
                <w:rFonts w:ascii="Arial" w:hAnsi="Arial" w:cs="Arial"/>
                <w:sz w:val="20"/>
                <w:szCs w:val="20"/>
              </w:rPr>
            </w:pPr>
            <w:r w:rsidRPr="009E2687">
              <w:t>2</w:t>
            </w:r>
          </w:p>
        </w:tc>
      </w:tr>
      <w:tr w:rsidR="00765EB5" w14:paraId="7A40B66E" w14:textId="77777777" w:rsidTr="00765EB5">
        <w:tc>
          <w:tcPr>
            <w:tcW w:w="533" w:type="dxa"/>
            <w:vAlign w:val="center"/>
          </w:tcPr>
          <w:p w14:paraId="70E1EB52" w14:textId="423046E7"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10</w:t>
            </w:r>
          </w:p>
        </w:tc>
        <w:tc>
          <w:tcPr>
            <w:tcW w:w="3260" w:type="dxa"/>
          </w:tcPr>
          <w:p w14:paraId="260D9EA7" w14:textId="29F4ABE0" w:rsidR="00765EB5" w:rsidRDefault="00765EB5" w:rsidP="00E310BF">
            <w:pPr>
              <w:spacing w:before="100" w:beforeAutospacing="1" w:after="0"/>
              <w:jc w:val="both"/>
              <w:rPr>
                <w:rFonts w:ascii="Arial" w:hAnsi="Arial" w:cs="Arial"/>
                <w:sz w:val="20"/>
                <w:szCs w:val="20"/>
              </w:rPr>
            </w:pPr>
            <w:r>
              <w:rPr>
                <w:rFonts w:ascii="Arial" w:hAnsi="Arial" w:cs="Arial"/>
                <w:sz w:val="20"/>
                <w:szCs w:val="20"/>
              </w:rPr>
              <w:t xml:space="preserve">Administrateur ou grade équivalant de corps particulier </w:t>
            </w:r>
          </w:p>
        </w:tc>
        <w:tc>
          <w:tcPr>
            <w:tcW w:w="1134" w:type="dxa"/>
            <w:vAlign w:val="center"/>
          </w:tcPr>
          <w:p w14:paraId="738C3BDD" w14:textId="404D8698"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65E18D43" w14:textId="5DACBBCB"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18F52679" w14:textId="6C266ED6"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0FD1AF5A" w14:textId="7F724A0A" w:rsidR="00765EB5" w:rsidRDefault="00765EB5" w:rsidP="00765EB5">
            <w:pPr>
              <w:spacing w:before="100" w:beforeAutospacing="1" w:after="0"/>
              <w:jc w:val="center"/>
              <w:rPr>
                <w:rFonts w:ascii="Arial" w:hAnsi="Arial" w:cs="Arial"/>
                <w:sz w:val="20"/>
                <w:szCs w:val="20"/>
              </w:rPr>
            </w:pPr>
            <w:r w:rsidRPr="009E2687">
              <w:t>2</w:t>
            </w:r>
          </w:p>
        </w:tc>
      </w:tr>
      <w:tr w:rsidR="00765EB5" w14:paraId="2711EF17" w14:textId="77777777" w:rsidTr="00765EB5">
        <w:tc>
          <w:tcPr>
            <w:tcW w:w="533" w:type="dxa"/>
            <w:vAlign w:val="center"/>
          </w:tcPr>
          <w:p w14:paraId="1FA396A5" w14:textId="511CD75F"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11</w:t>
            </w:r>
          </w:p>
        </w:tc>
        <w:tc>
          <w:tcPr>
            <w:tcW w:w="3260" w:type="dxa"/>
          </w:tcPr>
          <w:p w14:paraId="61D6F502" w14:textId="214074B5" w:rsidR="00765EB5" w:rsidRDefault="00765EB5" w:rsidP="00E310BF">
            <w:pPr>
              <w:spacing w:before="100" w:beforeAutospacing="1" w:after="0"/>
              <w:jc w:val="both"/>
              <w:rPr>
                <w:rFonts w:ascii="Arial" w:hAnsi="Arial" w:cs="Arial"/>
                <w:sz w:val="20"/>
                <w:szCs w:val="20"/>
              </w:rPr>
            </w:pPr>
            <w:r>
              <w:rPr>
                <w:rFonts w:ascii="Arial" w:hAnsi="Arial" w:cs="Arial"/>
                <w:sz w:val="20"/>
                <w:szCs w:val="20"/>
              </w:rPr>
              <w:t>Attaché d’administration ou grade équivalant de corps particulier</w:t>
            </w:r>
          </w:p>
        </w:tc>
        <w:tc>
          <w:tcPr>
            <w:tcW w:w="1134" w:type="dxa"/>
            <w:vAlign w:val="center"/>
          </w:tcPr>
          <w:p w14:paraId="0E8228FE" w14:textId="79314A42"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326B54E4" w14:textId="46AD327D"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5AA486A5" w14:textId="1976EC13"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74CE3D48" w14:textId="5E8F5E89" w:rsidR="00765EB5" w:rsidRDefault="00765EB5" w:rsidP="00765EB5">
            <w:pPr>
              <w:spacing w:before="100" w:beforeAutospacing="1" w:after="0"/>
              <w:jc w:val="center"/>
              <w:rPr>
                <w:rFonts w:ascii="Arial" w:hAnsi="Arial" w:cs="Arial"/>
                <w:sz w:val="20"/>
                <w:szCs w:val="20"/>
              </w:rPr>
            </w:pPr>
            <w:r w:rsidRPr="009E2687">
              <w:t>2</w:t>
            </w:r>
          </w:p>
        </w:tc>
      </w:tr>
      <w:tr w:rsidR="00765EB5" w14:paraId="4C07E735" w14:textId="77777777" w:rsidTr="00765EB5">
        <w:tc>
          <w:tcPr>
            <w:tcW w:w="533" w:type="dxa"/>
            <w:vAlign w:val="center"/>
          </w:tcPr>
          <w:p w14:paraId="760E0976" w14:textId="5A7F2DFA"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12</w:t>
            </w:r>
          </w:p>
        </w:tc>
        <w:tc>
          <w:tcPr>
            <w:tcW w:w="3260" w:type="dxa"/>
          </w:tcPr>
          <w:p w14:paraId="138DF858" w14:textId="784CB199" w:rsidR="00765EB5" w:rsidRDefault="00765EB5" w:rsidP="00E310BF">
            <w:pPr>
              <w:spacing w:before="100" w:beforeAutospacing="1" w:after="0"/>
              <w:jc w:val="both"/>
              <w:rPr>
                <w:rFonts w:ascii="Arial" w:hAnsi="Arial" w:cs="Arial"/>
                <w:sz w:val="20"/>
                <w:szCs w:val="20"/>
              </w:rPr>
            </w:pPr>
            <w:r>
              <w:rPr>
                <w:rFonts w:ascii="Arial" w:hAnsi="Arial" w:cs="Arial"/>
                <w:sz w:val="20"/>
                <w:szCs w:val="20"/>
              </w:rPr>
              <w:t>Secrétaire d’administration, secrétaire dactylographe ou grade équivalant de corps particulier.</w:t>
            </w:r>
          </w:p>
        </w:tc>
        <w:tc>
          <w:tcPr>
            <w:tcW w:w="1134" w:type="dxa"/>
            <w:vAlign w:val="center"/>
          </w:tcPr>
          <w:p w14:paraId="487D00D7" w14:textId="72FACC65"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7E960CC5" w14:textId="7D76B3C8"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5D74EB82" w14:textId="024B50C6"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697BC380" w14:textId="3D2AA62E" w:rsidR="00765EB5" w:rsidRDefault="00765EB5" w:rsidP="00765EB5">
            <w:pPr>
              <w:spacing w:before="100" w:beforeAutospacing="1" w:after="0"/>
              <w:jc w:val="center"/>
              <w:rPr>
                <w:rFonts w:ascii="Arial" w:hAnsi="Arial" w:cs="Arial"/>
                <w:sz w:val="20"/>
                <w:szCs w:val="20"/>
              </w:rPr>
            </w:pPr>
            <w:r w:rsidRPr="009E2687">
              <w:t>2</w:t>
            </w:r>
          </w:p>
        </w:tc>
      </w:tr>
      <w:tr w:rsidR="00765EB5" w14:paraId="686F4577" w14:textId="77777777" w:rsidTr="00765EB5">
        <w:tc>
          <w:tcPr>
            <w:tcW w:w="533" w:type="dxa"/>
            <w:vAlign w:val="center"/>
          </w:tcPr>
          <w:p w14:paraId="663DB0B2" w14:textId="5C13C12F"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13</w:t>
            </w:r>
          </w:p>
        </w:tc>
        <w:tc>
          <w:tcPr>
            <w:tcW w:w="3260" w:type="dxa"/>
          </w:tcPr>
          <w:p w14:paraId="67B091B3" w14:textId="067ECD12" w:rsidR="00765EB5" w:rsidRDefault="00765EB5" w:rsidP="00E310BF">
            <w:pPr>
              <w:spacing w:before="100" w:beforeAutospacing="1" w:after="0"/>
              <w:jc w:val="both"/>
              <w:rPr>
                <w:rFonts w:ascii="Arial" w:hAnsi="Arial" w:cs="Arial"/>
                <w:sz w:val="20"/>
                <w:szCs w:val="20"/>
              </w:rPr>
            </w:pPr>
            <w:r>
              <w:rPr>
                <w:rFonts w:ascii="Arial" w:hAnsi="Arial" w:cs="Arial"/>
                <w:sz w:val="20"/>
                <w:szCs w:val="20"/>
              </w:rPr>
              <w:t xml:space="preserve">Commis d’administration, agent d’accueil ou grade équivalant de corps particulier </w:t>
            </w:r>
          </w:p>
        </w:tc>
        <w:tc>
          <w:tcPr>
            <w:tcW w:w="1134" w:type="dxa"/>
            <w:vAlign w:val="center"/>
          </w:tcPr>
          <w:p w14:paraId="7BD27596" w14:textId="1A8039A7"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53F5FB78" w14:textId="4DDBFFB5"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1EBD0DBA" w14:textId="1E66746E"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55C457F5" w14:textId="28360895" w:rsidR="00765EB5" w:rsidRDefault="00765EB5" w:rsidP="00765EB5">
            <w:pPr>
              <w:spacing w:before="100" w:beforeAutospacing="1" w:after="0"/>
              <w:jc w:val="center"/>
              <w:rPr>
                <w:rFonts w:ascii="Arial" w:hAnsi="Arial" w:cs="Arial"/>
                <w:sz w:val="20"/>
                <w:szCs w:val="20"/>
              </w:rPr>
            </w:pPr>
            <w:r w:rsidRPr="009E2687">
              <w:t>2</w:t>
            </w:r>
          </w:p>
        </w:tc>
      </w:tr>
      <w:tr w:rsidR="00765EB5" w14:paraId="048771D4" w14:textId="77777777" w:rsidTr="00765EB5">
        <w:tc>
          <w:tcPr>
            <w:tcW w:w="533" w:type="dxa"/>
            <w:vAlign w:val="center"/>
          </w:tcPr>
          <w:p w14:paraId="0FC8E2EA" w14:textId="7CE72174"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14</w:t>
            </w:r>
          </w:p>
        </w:tc>
        <w:tc>
          <w:tcPr>
            <w:tcW w:w="3260" w:type="dxa"/>
          </w:tcPr>
          <w:p w14:paraId="28B5E813" w14:textId="304397E5" w:rsidR="00765EB5" w:rsidRDefault="00765EB5" w:rsidP="00E310BF">
            <w:pPr>
              <w:spacing w:before="100" w:beforeAutospacing="1" w:after="0"/>
              <w:jc w:val="both"/>
              <w:rPr>
                <w:rFonts w:ascii="Arial" w:hAnsi="Arial" w:cs="Arial"/>
                <w:sz w:val="20"/>
                <w:szCs w:val="20"/>
              </w:rPr>
            </w:pPr>
            <w:r>
              <w:rPr>
                <w:rFonts w:ascii="Arial" w:hAnsi="Arial" w:cs="Arial"/>
                <w:sz w:val="20"/>
                <w:szCs w:val="20"/>
              </w:rPr>
              <w:t xml:space="preserve">Ouvrier appartenant aux catégories 1.2.et 3 </w:t>
            </w:r>
          </w:p>
        </w:tc>
        <w:tc>
          <w:tcPr>
            <w:tcW w:w="1134" w:type="dxa"/>
            <w:vAlign w:val="center"/>
          </w:tcPr>
          <w:p w14:paraId="6594FC2A" w14:textId="443071FE"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1F9ABA3E" w14:textId="0BEDACEE"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0DE78DFB" w14:textId="5B8D51CA"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073E852B" w14:textId="3BF3F5C0" w:rsidR="00765EB5" w:rsidRDefault="00765EB5" w:rsidP="00765EB5">
            <w:pPr>
              <w:spacing w:before="100" w:beforeAutospacing="1" w:after="0"/>
              <w:jc w:val="center"/>
              <w:rPr>
                <w:rFonts w:ascii="Arial" w:hAnsi="Arial" w:cs="Arial"/>
                <w:sz w:val="20"/>
                <w:szCs w:val="20"/>
              </w:rPr>
            </w:pPr>
            <w:r w:rsidRPr="009E2687">
              <w:t>2</w:t>
            </w:r>
          </w:p>
        </w:tc>
      </w:tr>
      <w:tr w:rsidR="00765EB5" w14:paraId="60CD6F8B" w14:textId="77777777" w:rsidTr="00765EB5">
        <w:tc>
          <w:tcPr>
            <w:tcW w:w="533" w:type="dxa"/>
            <w:vAlign w:val="center"/>
          </w:tcPr>
          <w:p w14:paraId="5B269620" w14:textId="49FB693C"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15</w:t>
            </w:r>
          </w:p>
        </w:tc>
        <w:tc>
          <w:tcPr>
            <w:tcW w:w="3260" w:type="dxa"/>
          </w:tcPr>
          <w:p w14:paraId="725A27BB" w14:textId="12C3C25A" w:rsidR="00765EB5" w:rsidRDefault="00765EB5" w:rsidP="00E310BF">
            <w:pPr>
              <w:spacing w:before="100" w:beforeAutospacing="1" w:after="0"/>
              <w:jc w:val="both"/>
              <w:rPr>
                <w:rFonts w:ascii="Arial" w:hAnsi="Arial" w:cs="Arial"/>
                <w:sz w:val="20"/>
                <w:szCs w:val="20"/>
              </w:rPr>
            </w:pPr>
            <w:r>
              <w:rPr>
                <w:rFonts w:ascii="Arial" w:hAnsi="Arial" w:cs="Arial"/>
                <w:sz w:val="20"/>
                <w:szCs w:val="20"/>
              </w:rPr>
              <w:t xml:space="preserve">Ouvriers appartenant aux catégories 4.5.6 et 7 </w:t>
            </w:r>
          </w:p>
        </w:tc>
        <w:tc>
          <w:tcPr>
            <w:tcW w:w="1134" w:type="dxa"/>
            <w:vAlign w:val="center"/>
          </w:tcPr>
          <w:p w14:paraId="07B33689" w14:textId="1191EB34"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013FD428" w14:textId="380FE8B3"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08BAA05B" w14:textId="57879B35"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7AA681C6" w14:textId="19279461" w:rsidR="00765EB5" w:rsidRDefault="00765EB5" w:rsidP="00765EB5">
            <w:pPr>
              <w:spacing w:before="100" w:beforeAutospacing="1" w:after="0"/>
              <w:jc w:val="center"/>
              <w:rPr>
                <w:rFonts w:ascii="Arial" w:hAnsi="Arial" w:cs="Arial"/>
                <w:sz w:val="20"/>
                <w:szCs w:val="20"/>
              </w:rPr>
            </w:pPr>
            <w:r w:rsidRPr="009E2687">
              <w:t>2</w:t>
            </w:r>
          </w:p>
        </w:tc>
      </w:tr>
      <w:tr w:rsidR="00765EB5" w14:paraId="08D1D821" w14:textId="77777777" w:rsidTr="00765EB5">
        <w:tc>
          <w:tcPr>
            <w:tcW w:w="533" w:type="dxa"/>
            <w:vAlign w:val="center"/>
          </w:tcPr>
          <w:p w14:paraId="443D0B3A" w14:textId="4D00F3A5"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16</w:t>
            </w:r>
          </w:p>
        </w:tc>
        <w:tc>
          <w:tcPr>
            <w:tcW w:w="3260" w:type="dxa"/>
          </w:tcPr>
          <w:p w14:paraId="74E480D7" w14:textId="5989A2E8" w:rsidR="00765EB5" w:rsidRDefault="00765EB5" w:rsidP="00E310BF">
            <w:pPr>
              <w:spacing w:before="100" w:beforeAutospacing="1" w:after="0"/>
              <w:jc w:val="both"/>
              <w:rPr>
                <w:rFonts w:ascii="Arial" w:hAnsi="Arial" w:cs="Arial"/>
                <w:sz w:val="20"/>
                <w:szCs w:val="20"/>
              </w:rPr>
            </w:pPr>
            <w:r>
              <w:rPr>
                <w:rFonts w:ascii="Arial" w:hAnsi="Arial" w:cs="Arial"/>
                <w:sz w:val="20"/>
                <w:szCs w:val="20"/>
              </w:rPr>
              <w:t>Ouvriers appartenant aux catégories 8.9. et 10</w:t>
            </w:r>
          </w:p>
        </w:tc>
        <w:tc>
          <w:tcPr>
            <w:tcW w:w="1134" w:type="dxa"/>
            <w:vAlign w:val="center"/>
          </w:tcPr>
          <w:p w14:paraId="7D2FB0F6" w14:textId="25F8D9C6" w:rsidR="00765EB5" w:rsidRDefault="00765EB5" w:rsidP="00765EB5">
            <w:pPr>
              <w:spacing w:before="100" w:beforeAutospacing="1" w:after="0"/>
              <w:jc w:val="center"/>
              <w:rPr>
                <w:rFonts w:ascii="Arial" w:hAnsi="Arial" w:cs="Arial"/>
                <w:sz w:val="20"/>
                <w:szCs w:val="20"/>
              </w:rPr>
            </w:pPr>
            <w:r>
              <w:rPr>
                <w:rFonts w:ascii="Arial" w:hAnsi="Arial" w:cs="Arial"/>
                <w:sz w:val="20"/>
                <w:szCs w:val="20"/>
              </w:rPr>
              <w:t>2</w:t>
            </w:r>
          </w:p>
        </w:tc>
        <w:tc>
          <w:tcPr>
            <w:tcW w:w="1459" w:type="dxa"/>
            <w:vAlign w:val="center"/>
          </w:tcPr>
          <w:p w14:paraId="29A4CD1F" w14:textId="555EE462" w:rsidR="00765EB5" w:rsidRDefault="00765EB5" w:rsidP="00765EB5">
            <w:pPr>
              <w:spacing w:before="100" w:beforeAutospacing="1" w:after="0"/>
              <w:jc w:val="center"/>
              <w:rPr>
                <w:rFonts w:ascii="Arial" w:hAnsi="Arial" w:cs="Arial"/>
                <w:sz w:val="20"/>
                <w:szCs w:val="20"/>
              </w:rPr>
            </w:pPr>
            <w:r w:rsidRPr="009E2687">
              <w:t>2</w:t>
            </w:r>
          </w:p>
        </w:tc>
        <w:tc>
          <w:tcPr>
            <w:tcW w:w="1376" w:type="dxa"/>
            <w:vAlign w:val="center"/>
          </w:tcPr>
          <w:p w14:paraId="325DEC90" w14:textId="085A1E84" w:rsidR="00765EB5" w:rsidRDefault="00765EB5" w:rsidP="00765EB5">
            <w:pPr>
              <w:spacing w:before="100" w:beforeAutospacing="1" w:after="0"/>
              <w:jc w:val="center"/>
              <w:rPr>
                <w:rFonts w:ascii="Arial" w:hAnsi="Arial" w:cs="Arial"/>
                <w:sz w:val="20"/>
                <w:szCs w:val="20"/>
              </w:rPr>
            </w:pPr>
            <w:r w:rsidRPr="009E2687">
              <w:t>2</w:t>
            </w:r>
          </w:p>
        </w:tc>
        <w:tc>
          <w:tcPr>
            <w:tcW w:w="1418" w:type="dxa"/>
            <w:vAlign w:val="center"/>
          </w:tcPr>
          <w:p w14:paraId="58492308" w14:textId="1E74079C" w:rsidR="00765EB5" w:rsidRDefault="00765EB5" w:rsidP="00765EB5">
            <w:pPr>
              <w:spacing w:before="100" w:beforeAutospacing="1" w:after="0"/>
              <w:jc w:val="center"/>
              <w:rPr>
                <w:rFonts w:ascii="Arial" w:hAnsi="Arial" w:cs="Arial"/>
                <w:sz w:val="20"/>
                <w:szCs w:val="20"/>
              </w:rPr>
            </w:pPr>
            <w:r w:rsidRPr="009E2687">
              <w:t>2</w:t>
            </w:r>
          </w:p>
        </w:tc>
      </w:tr>
    </w:tbl>
    <w:p w14:paraId="716E8A0A" w14:textId="4D4DBA29" w:rsidR="00E310BF" w:rsidRPr="00E310BF" w:rsidRDefault="00765EB5" w:rsidP="00E310BF">
      <w:pPr>
        <w:spacing w:before="100" w:beforeAutospacing="1" w:after="0"/>
        <w:ind w:left="284"/>
        <w:jc w:val="both"/>
        <w:rPr>
          <w:rFonts w:ascii="Arial" w:hAnsi="Arial" w:cs="Arial"/>
          <w:sz w:val="20"/>
          <w:szCs w:val="20"/>
        </w:rPr>
      </w:pPr>
      <w:r w:rsidRPr="00765EB5">
        <w:rPr>
          <w:rFonts w:ascii="Arial" w:hAnsi="Arial" w:cs="Arial"/>
          <w:b/>
          <w:bCs/>
          <w:i/>
          <w:iCs/>
          <w:sz w:val="20"/>
          <w:szCs w:val="20"/>
        </w:rPr>
        <w:t>Art. 3 –</w:t>
      </w:r>
      <w:r>
        <w:rPr>
          <w:rFonts w:ascii="Arial" w:hAnsi="Arial" w:cs="Arial"/>
          <w:sz w:val="20"/>
          <w:szCs w:val="20"/>
        </w:rPr>
        <w:t xml:space="preserve"> </w:t>
      </w:r>
      <w:r w:rsidR="00E310BF" w:rsidRPr="00E310BF">
        <w:rPr>
          <w:rFonts w:ascii="Arial" w:hAnsi="Arial" w:cs="Arial"/>
          <w:sz w:val="20"/>
          <w:szCs w:val="20"/>
        </w:rPr>
        <w:t xml:space="preserve">Sont abrogées, toutes les dispositions antérieurs contraires au présent arrêté notamment les arrêtés du 17 avril 2007 et du 24 mai 2011. </w:t>
      </w:r>
    </w:p>
    <w:p w14:paraId="38B28849" w14:textId="67357F98" w:rsidR="00E310BF" w:rsidRPr="00E310BF" w:rsidRDefault="00765EB5" w:rsidP="00E310BF">
      <w:pPr>
        <w:spacing w:before="100" w:beforeAutospacing="1" w:after="0"/>
        <w:ind w:left="284"/>
        <w:jc w:val="both"/>
        <w:rPr>
          <w:rFonts w:ascii="Arial" w:hAnsi="Arial" w:cs="Arial"/>
          <w:sz w:val="20"/>
          <w:szCs w:val="20"/>
        </w:rPr>
      </w:pPr>
      <w:r w:rsidRPr="00765EB5">
        <w:rPr>
          <w:rFonts w:ascii="Arial" w:hAnsi="Arial" w:cs="Arial"/>
          <w:b/>
          <w:bCs/>
          <w:i/>
          <w:iCs/>
          <w:sz w:val="20"/>
          <w:szCs w:val="20"/>
        </w:rPr>
        <w:t>Art. 4 –</w:t>
      </w:r>
      <w:r>
        <w:rPr>
          <w:rFonts w:ascii="Arial" w:hAnsi="Arial" w:cs="Arial"/>
          <w:sz w:val="20"/>
          <w:szCs w:val="20"/>
        </w:rPr>
        <w:t xml:space="preserve"> </w:t>
      </w:r>
      <w:r w:rsidR="00E310BF" w:rsidRPr="00E310BF">
        <w:rPr>
          <w:rFonts w:ascii="Arial" w:hAnsi="Arial" w:cs="Arial"/>
          <w:sz w:val="20"/>
          <w:szCs w:val="20"/>
        </w:rPr>
        <w:t xml:space="preserve">Le présent arrêté sera publié au Journal Officiel de la République Tunisienne. </w:t>
      </w:r>
    </w:p>
    <w:p w14:paraId="34232C84" w14:textId="77777777" w:rsidR="00E310BF" w:rsidRPr="00765EB5" w:rsidRDefault="00E310BF" w:rsidP="00E310BF">
      <w:pPr>
        <w:spacing w:before="100" w:beforeAutospacing="1" w:after="0"/>
        <w:ind w:left="284"/>
        <w:jc w:val="both"/>
        <w:rPr>
          <w:rFonts w:ascii="Arial" w:hAnsi="Arial" w:cs="Arial"/>
          <w:b/>
          <w:bCs/>
          <w:sz w:val="20"/>
          <w:szCs w:val="20"/>
        </w:rPr>
      </w:pPr>
      <w:r w:rsidRPr="00765EB5">
        <w:rPr>
          <w:rFonts w:ascii="Arial" w:hAnsi="Arial" w:cs="Arial"/>
          <w:b/>
          <w:bCs/>
          <w:sz w:val="20"/>
          <w:szCs w:val="20"/>
        </w:rPr>
        <w:t>Tunis, le 30 avril 2014.</w:t>
      </w:r>
    </w:p>
    <w:p w14:paraId="71E6F4F2" w14:textId="446F8F2E" w:rsidR="00E953A2" w:rsidRPr="00765EB5" w:rsidRDefault="00E310BF" w:rsidP="00E310BF">
      <w:pPr>
        <w:spacing w:before="100" w:beforeAutospacing="1" w:after="0"/>
        <w:ind w:left="284"/>
        <w:jc w:val="both"/>
        <w:rPr>
          <w:rFonts w:ascii="Arial" w:hAnsi="Arial" w:cs="Arial"/>
          <w:b/>
          <w:bCs/>
          <w:sz w:val="20"/>
          <w:szCs w:val="20"/>
        </w:rPr>
      </w:pPr>
      <w:r w:rsidRPr="00765EB5">
        <w:rPr>
          <w:rFonts w:ascii="Arial" w:hAnsi="Arial" w:cs="Arial"/>
          <w:b/>
          <w:bCs/>
          <w:sz w:val="20"/>
          <w:szCs w:val="20"/>
        </w:rPr>
        <w:t>Le Chef du Gouvernement</w:t>
      </w:r>
    </w:p>
    <w:p w14:paraId="0A6CCF73" w14:textId="77777777" w:rsidR="00765EB5" w:rsidRPr="00765EB5" w:rsidRDefault="00765EB5">
      <w:pPr>
        <w:spacing w:before="100" w:beforeAutospacing="1" w:after="0"/>
        <w:ind w:left="284"/>
        <w:jc w:val="both"/>
        <w:rPr>
          <w:rFonts w:ascii="Arial" w:hAnsi="Arial" w:cs="Arial"/>
          <w:b/>
          <w:bCs/>
          <w:sz w:val="20"/>
          <w:szCs w:val="20"/>
        </w:rPr>
      </w:pPr>
    </w:p>
    <w:sectPr w:rsidR="00765EB5" w:rsidRPr="00765EB5"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2D8AF" w14:textId="77777777" w:rsidR="00425B6C" w:rsidRDefault="00425B6C" w:rsidP="008F3F2D">
      <w:r>
        <w:separator/>
      </w:r>
    </w:p>
  </w:endnote>
  <w:endnote w:type="continuationSeparator" w:id="0">
    <w:p w14:paraId="4CA3CBAE" w14:textId="77777777" w:rsidR="00425B6C" w:rsidRDefault="00425B6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5EB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65EB5">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5EB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65EB5">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25B6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25B6C">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25B6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25B6C">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A4621" w14:textId="77777777" w:rsidR="00425B6C" w:rsidRDefault="00425B6C" w:rsidP="008F3F2D">
      <w:r>
        <w:separator/>
      </w:r>
    </w:p>
  </w:footnote>
  <w:footnote w:type="continuationSeparator" w:id="0">
    <w:p w14:paraId="577066C1" w14:textId="77777777" w:rsidR="00425B6C" w:rsidRDefault="00425B6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0E7"/>
    <w:multiLevelType w:val="hybridMultilevel"/>
    <w:tmpl w:val="8C4A9CB8"/>
    <w:lvl w:ilvl="0" w:tplc="D8DC3080">
      <w:numFmt w:val="bullet"/>
      <w:lvlText w:val="̶"/>
      <w:lvlJc w:val="left"/>
      <w:pPr>
        <w:ind w:left="716" w:hanging="432"/>
      </w:pPr>
      <w:rPr>
        <w:rFonts w:ascii="Arial" w:eastAsiaTheme="minorEastAsia" w:hAnsi="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8129E6"/>
    <w:multiLevelType w:val="hybridMultilevel"/>
    <w:tmpl w:val="2B6299A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BC10BDB"/>
    <w:multiLevelType w:val="hybridMultilevel"/>
    <w:tmpl w:val="EB98EC7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B8748E5"/>
    <w:multiLevelType w:val="hybridMultilevel"/>
    <w:tmpl w:val="C6565DA0"/>
    <w:lvl w:ilvl="0" w:tplc="5A0ABB9C">
      <w:start w:val="10"/>
      <w:numFmt w:val="bullet"/>
      <w:lvlText w:val="-"/>
      <w:lvlJc w:val="left"/>
      <w:pPr>
        <w:ind w:left="716" w:hanging="432"/>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B6461C"/>
    <w:multiLevelType w:val="hybridMultilevel"/>
    <w:tmpl w:val="E2F21CE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0C59CC"/>
    <w:multiLevelType w:val="hybridMultilevel"/>
    <w:tmpl w:val="859E60D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40B10C4F"/>
    <w:multiLevelType w:val="hybridMultilevel"/>
    <w:tmpl w:val="5426A8B0"/>
    <w:lvl w:ilvl="0" w:tplc="550621F6">
      <w:start w:val="10"/>
      <w:numFmt w:val="bullet"/>
      <w:lvlText w:val="•"/>
      <w:lvlJc w:val="left"/>
      <w:pPr>
        <w:ind w:left="716" w:hanging="432"/>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40F94706"/>
    <w:multiLevelType w:val="hybridMultilevel"/>
    <w:tmpl w:val="FAF6743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C008D3"/>
    <w:multiLevelType w:val="hybridMultilevel"/>
    <w:tmpl w:val="76F87E9C"/>
    <w:lvl w:ilvl="0" w:tplc="4F9EF4D6">
      <w:start w:val="10"/>
      <w:numFmt w:val="bullet"/>
      <w:lvlText w:val="•"/>
      <w:lvlJc w:val="left"/>
      <w:pPr>
        <w:ind w:left="716" w:hanging="432"/>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5438EE"/>
    <w:multiLevelType w:val="hybridMultilevel"/>
    <w:tmpl w:val="F5241D20"/>
    <w:lvl w:ilvl="0" w:tplc="27F8BA4E">
      <w:start w:val="10"/>
      <w:numFmt w:val="bullet"/>
      <w:lvlText w:val="-"/>
      <w:lvlJc w:val="left"/>
      <w:pPr>
        <w:ind w:left="716" w:hanging="432"/>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nsid w:val="558B7F9C"/>
    <w:multiLevelType w:val="hybridMultilevel"/>
    <w:tmpl w:val="2A427852"/>
    <w:lvl w:ilvl="0" w:tplc="DCAC650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5D1118AB"/>
    <w:multiLevelType w:val="hybridMultilevel"/>
    <w:tmpl w:val="1C7E508C"/>
    <w:lvl w:ilvl="0" w:tplc="D0862FD6">
      <w:start w:val="10"/>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B33E77"/>
    <w:multiLevelType w:val="hybridMultilevel"/>
    <w:tmpl w:val="A9FEDEDE"/>
    <w:lvl w:ilvl="0" w:tplc="D0862FD6">
      <w:start w:val="1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nsid w:val="79A03BA3"/>
    <w:multiLevelType w:val="hybridMultilevel"/>
    <w:tmpl w:val="EC3EA7E8"/>
    <w:lvl w:ilvl="0" w:tplc="7C94D40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7D404B15"/>
    <w:multiLevelType w:val="hybridMultilevel"/>
    <w:tmpl w:val="B796869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11"/>
  </w:num>
  <w:num w:numId="3">
    <w:abstractNumId w:val="24"/>
  </w:num>
  <w:num w:numId="4">
    <w:abstractNumId w:val="12"/>
  </w:num>
  <w:num w:numId="5">
    <w:abstractNumId w:val="23"/>
  </w:num>
  <w:num w:numId="6">
    <w:abstractNumId w:val="29"/>
  </w:num>
  <w:num w:numId="7">
    <w:abstractNumId w:val="19"/>
  </w:num>
  <w:num w:numId="8">
    <w:abstractNumId w:val="3"/>
  </w:num>
  <w:num w:numId="9">
    <w:abstractNumId w:val="18"/>
  </w:num>
  <w:num w:numId="10">
    <w:abstractNumId w:val="9"/>
  </w:num>
  <w:num w:numId="11">
    <w:abstractNumId w:val="7"/>
  </w:num>
  <w:num w:numId="12">
    <w:abstractNumId w:val="2"/>
  </w:num>
  <w:num w:numId="13">
    <w:abstractNumId w:val="10"/>
  </w:num>
  <w:num w:numId="14">
    <w:abstractNumId w:val="25"/>
  </w:num>
  <w:num w:numId="15">
    <w:abstractNumId w:val="16"/>
  </w:num>
  <w:num w:numId="16">
    <w:abstractNumId w:val="28"/>
  </w:num>
  <w:num w:numId="17">
    <w:abstractNumId w:val="21"/>
  </w:num>
  <w:num w:numId="18">
    <w:abstractNumId w:val="13"/>
  </w:num>
  <w:num w:numId="19">
    <w:abstractNumId w:val="27"/>
  </w:num>
  <w:num w:numId="20">
    <w:abstractNumId w:val="5"/>
  </w:num>
  <w:num w:numId="21">
    <w:abstractNumId w:val="14"/>
  </w:num>
  <w:num w:numId="22">
    <w:abstractNumId w:val="4"/>
  </w:num>
  <w:num w:numId="23">
    <w:abstractNumId w:val="17"/>
  </w:num>
  <w:num w:numId="24">
    <w:abstractNumId w:val="15"/>
  </w:num>
  <w:num w:numId="25">
    <w:abstractNumId w:val="26"/>
  </w:num>
  <w:num w:numId="26">
    <w:abstractNumId w:val="22"/>
  </w:num>
  <w:num w:numId="27">
    <w:abstractNumId w:val="20"/>
  </w:num>
  <w:num w:numId="28">
    <w:abstractNumId w:val="0"/>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0D6B41"/>
    <w:rsid w:val="00175A71"/>
    <w:rsid w:val="001B3FA3"/>
    <w:rsid w:val="001E5DD5"/>
    <w:rsid w:val="0020398F"/>
    <w:rsid w:val="00292530"/>
    <w:rsid w:val="002B19EE"/>
    <w:rsid w:val="00354137"/>
    <w:rsid w:val="00374CE1"/>
    <w:rsid w:val="003B6CD4"/>
    <w:rsid w:val="00400FF9"/>
    <w:rsid w:val="00425B6C"/>
    <w:rsid w:val="0050413D"/>
    <w:rsid w:val="00513AA8"/>
    <w:rsid w:val="005C4E1D"/>
    <w:rsid w:val="005F7BF4"/>
    <w:rsid w:val="00646CD8"/>
    <w:rsid w:val="00684129"/>
    <w:rsid w:val="006A7DAD"/>
    <w:rsid w:val="00724237"/>
    <w:rsid w:val="007244D3"/>
    <w:rsid w:val="0075404E"/>
    <w:rsid w:val="00765EB5"/>
    <w:rsid w:val="007A68FB"/>
    <w:rsid w:val="007C6362"/>
    <w:rsid w:val="0089552E"/>
    <w:rsid w:val="008C0466"/>
    <w:rsid w:val="008F3F2D"/>
    <w:rsid w:val="00957F0E"/>
    <w:rsid w:val="0097472C"/>
    <w:rsid w:val="0098258A"/>
    <w:rsid w:val="00A00644"/>
    <w:rsid w:val="00A04F09"/>
    <w:rsid w:val="00A24F23"/>
    <w:rsid w:val="00A60A04"/>
    <w:rsid w:val="00A90F21"/>
    <w:rsid w:val="00AD2268"/>
    <w:rsid w:val="00B0001B"/>
    <w:rsid w:val="00B05438"/>
    <w:rsid w:val="00B617F1"/>
    <w:rsid w:val="00BF1847"/>
    <w:rsid w:val="00C1635D"/>
    <w:rsid w:val="00C61238"/>
    <w:rsid w:val="00C64B86"/>
    <w:rsid w:val="00C91F3C"/>
    <w:rsid w:val="00CC4ADF"/>
    <w:rsid w:val="00D07749"/>
    <w:rsid w:val="00D11988"/>
    <w:rsid w:val="00D8082B"/>
    <w:rsid w:val="00E10A35"/>
    <w:rsid w:val="00E310BF"/>
    <w:rsid w:val="00E953A2"/>
    <w:rsid w:val="00F57B75"/>
    <w:rsid w:val="00FA5D01"/>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8C0466"/>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8C0466"/>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0284-33B0-4944-9D4B-A5DC5511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904</Words>
  <Characters>4973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3</cp:revision>
  <cp:lastPrinted>2012-05-12T20:43:00Z</cp:lastPrinted>
  <dcterms:created xsi:type="dcterms:W3CDTF">2014-05-15T09:22:00Z</dcterms:created>
  <dcterms:modified xsi:type="dcterms:W3CDTF">2014-05-15T13:44:00Z</dcterms:modified>
</cp:coreProperties>
</file>