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9F8E" w14:textId="7D22E544" w:rsidR="00D816BB" w:rsidRDefault="00D816BB" w:rsidP="00255AAF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506829B5" w14:textId="636F2EF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8C70E6">
        <w:rPr>
          <w:rFonts w:ascii="Arial" w:hAnsi="Arial" w:cs="Arial"/>
          <w:b/>
          <w:bCs/>
          <w:sz w:val="24"/>
          <w:szCs w:val="24"/>
        </w:rPr>
        <w:t>Arrêté du Chef du Gouvernement du 15 novembre 2020, portant prorogation de l’application des dispositions exceptionnelles pour le travail des agents de l’Etat, des collectivités locales, des établissements publics à caractère administratif, des instances, des établissements publics et entreprises publiques</w:t>
      </w:r>
    </w:p>
    <w:p w14:paraId="60AA6788" w14:textId="77777777" w:rsid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  <w:rtl/>
        </w:rPr>
      </w:pPr>
    </w:p>
    <w:p w14:paraId="4714D454" w14:textId="3B69B0A4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Le Chef du Gouvernement,</w:t>
      </w:r>
    </w:p>
    <w:p w14:paraId="0522709D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Sur proposition de la ministre auprès du Chef du Gouvernement chargée de la fonction publique,</w:t>
      </w:r>
    </w:p>
    <w:p w14:paraId="1546DF33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Vu la Constitution,</w:t>
      </w:r>
    </w:p>
    <w:p w14:paraId="5AED68CA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Vu le décret n° 2012-1710 du 14 septembre 2012, relatif à la répartition des horaires et jours de travail des agents de l’Etat, des collectivités locales et des établissements publics à caractère administratif,</w:t>
      </w:r>
    </w:p>
    <w:p w14:paraId="60D9EF3D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Vu le décret Présidentiel n° 2020-84 du 2 septembre 2020, portant nomination du Chef du Gouvernement et de ses membres,</w:t>
      </w:r>
    </w:p>
    <w:p w14:paraId="23BBD98B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Vu le décret gouvernemental n° 2020-773 du 5 octobre 2020, portant dispositions exceptionnelles pour le travail des agents de l’Etat, des collectivités locales, des établissements publics à caractère administratif, des instances, des établissements publics et des entreprises publiques, notamment son article 11,</w:t>
      </w:r>
    </w:p>
    <w:p w14:paraId="78956FED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Vu l’arrêté du Chef du Gouvernement du 30 octobre 2020, portant prorogation de l’application des dispositions exceptionnelles pour le travail des agents de l’Etat, des collectivités locales, des établissements publics à caractère administratif, des instances et des établissements publics et des entreprises publiques,</w:t>
      </w:r>
    </w:p>
    <w:p w14:paraId="17F3CD6A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Vu l'avis du ministre de la santé.</w:t>
      </w:r>
    </w:p>
    <w:p w14:paraId="7F1C07C9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sz w:val="20"/>
          <w:szCs w:val="20"/>
        </w:rPr>
        <w:t>Arrête :</w:t>
      </w:r>
    </w:p>
    <w:p w14:paraId="7163B7A2" w14:textId="215FE7A8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b/>
          <w:bCs/>
          <w:i/>
          <w:iCs/>
          <w:sz w:val="20"/>
          <w:szCs w:val="20"/>
        </w:rPr>
        <w:t>Article premier -</w:t>
      </w:r>
      <w:r w:rsidRPr="008C70E6">
        <w:rPr>
          <w:rFonts w:ascii="Arial" w:hAnsi="Arial" w:cs="Arial"/>
          <w:sz w:val="20"/>
          <w:szCs w:val="20"/>
        </w:rPr>
        <w:t xml:space="preserve"> Est prorogée l’application des dispositions du </w:t>
      </w:r>
      <w:hyperlink r:id="rId8" w:history="1">
        <w:r w:rsidRPr="008C70E6">
          <w:rPr>
            <w:rStyle w:val="Lienhypertexte"/>
            <w:rFonts w:ascii="Arial" w:hAnsi="Arial" w:cs="Arial"/>
            <w:sz w:val="20"/>
            <w:szCs w:val="20"/>
          </w:rPr>
          <w:t>décret gouvernemental n° 2020-773 du 5 octobre 2020 susvisé, jusqu’au 6 décembre 2020</w:t>
        </w:r>
      </w:hyperlink>
      <w:r w:rsidRPr="008C70E6">
        <w:rPr>
          <w:rFonts w:ascii="Arial" w:hAnsi="Arial" w:cs="Arial"/>
          <w:sz w:val="20"/>
          <w:szCs w:val="20"/>
        </w:rPr>
        <w:t>, sauf prise préalable d’un arrêté décidant une nouvelle prorogation ou la mise fin de son application.</w:t>
      </w:r>
    </w:p>
    <w:p w14:paraId="1988A762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8C70E6">
        <w:rPr>
          <w:rFonts w:ascii="Arial" w:hAnsi="Arial" w:cs="Arial"/>
          <w:b/>
          <w:bCs/>
          <w:i/>
          <w:iCs/>
          <w:sz w:val="20"/>
          <w:szCs w:val="20"/>
        </w:rPr>
        <w:t>Art. 2 -</w:t>
      </w:r>
      <w:r w:rsidRPr="008C70E6">
        <w:rPr>
          <w:rFonts w:ascii="Arial" w:hAnsi="Arial" w:cs="Arial"/>
          <w:sz w:val="20"/>
          <w:szCs w:val="20"/>
        </w:rPr>
        <w:t xml:space="preserve"> Le présent arrêté sera publié au Journal officiel de la République tunisienne et entre en vigueur à compter de la date de sa publication.</w:t>
      </w:r>
    </w:p>
    <w:p w14:paraId="2A8A12E0" w14:textId="77777777" w:rsidR="008C70E6" w:rsidRPr="008C70E6" w:rsidRDefault="008C70E6" w:rsidP="008C70E6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8C70E6">
        <w:rPr>
          <w:rFonts w:ascii="Arial" w:hAnsi="Arial" w:cs="Arial"/>
          <w:b/>
          <w:bCs/>
          <w:sz w:val="20"/>
          <w:szCs w:val="20"/>
        </w:rPr>
        <w:t>Tunis, le 15 novembre 2020.</w:t>
      </w:r>
    </w:p>
    <w:p w14:paraId="3EC25924" w14:textId="0452B217" w:rsidR="00180EC0" w:rsidRPr="00255AAF" w:rsidRDefault="00180EC0" w:rsidP="008C70E6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180EC0" w:rsidRPr="00255AAF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90DF" w14:textId="77777777" w:rsidR="005230F3" w:rsidRDefault="005230F3" w:rsidP="008F3F2D">
      <w:r>
        <w:separator/>
      </w:r>
    </w:p>
  </w:endnote>
  <w:endnote w:type="continuationSeparator" w:id="0">
    <w:p w14:paraId="3D427E06" w14:textId="77777777" w:rsidR="005230F3" w:rsidRDefault="005230F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FE3F" w14:textId="77777777" w:rsidR="005230F3" w:rsidRDefault="005230F3" w:rsidP="008F3F2D">
      <w:r>
        <w:separator/>
      </w:r>
    </w:p>
  </w:footnote>
  <w:footnote w:type="continuationSeparator" w:id="0">
    <w:p w14:paraId="24B9D7B1" w14:textId="77777777" w:rsidR="005230F3" w:rsidRDefault="005230F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1"/>
  </w:num>
  <w:num w:numId="5">
    <w:abstractNumId w:val="15"/>
  </w:num>
  <w:num w:numId="6">
    <w:abstractNumId w:val="35"/>
  </w:num>
  <w:num w:numId="7">
    <w:abstractNumId w:val="26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42"/>
  </w:num>
  <w:num w:numId="13">
    <w:abstractNumId w:val="40"/>
  </w:num>
  <w:num w:numId="14">
    <w:abstractNumId w:val="29"/>
  </w:num>
  <w:num w:numId="15">
    <w:abstractNumId w:val="32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4"/>
  </w:num>
  <w:num w:numId="21">
    <w:abstractNumId w:val="21"/>
  </w:num>
  <w:num w:numId="22">
    <w:abstractNumId w:val="14"/>
  </w:num>
  <w:num w:numId="23">
    <w:abstractNumId w:val="24"/>
  </w:num>
  <w:num w:numId="24">
    <w:abstractNumId w:val="10"/>
  </w:num>
  <w:num w:numId="25">
    <w:abstractNumId w:val="39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31"/>
  </w:num>
  <w:num w:numId="31">
    <w:abstractNumId w:val="5"/>
  </w:num>
  <w:num w:numId="32">
    <w:abstractNumId w:val="36"/>
  </w:num>
  <w:num w:numId="33">
    <w:abstractNumId w:val="8"/>
  </w:num>
  <w:num w:numId="34">
    <w:abstractNumId w:val="13"/>
  </w:num>
  <w:num w:numId="35">
    <w:abstractNumId w:val="2"/>
  </w:num>
  <w:num w:numId="36">
    <w:abstractNumId w:val="33"/>
  </w:num>
  <w:num w:numId="37">
    <w:abstractNumId w:val="17"/>
  </w:num>
  <w:num w:numId="38">
    <w:abstractNumId w:val="23"/>
  </w:num>
  <w:num w:numId="39">
    <w:abstractNumId w:val="19"/>
  </w:num>
  <w:num w:numId="40">
    <w:abstractNumId w:val="27"/>
  </w:num>
  <w:num w:numId="41">
    <w:abstractNumId w:val="2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5BB2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30F3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C70E6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AF6BCC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5D9F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960CB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1049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D925-D2AE-437D-A226-BBB2797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2020-11-05T11:57:00Z</cp:lastPrinted>
  <dcterms:created xsi:type="dcterms:W3CDTF">2020-11-16T10:51:00Z</dcterms:created>
  <dcterms:modified xsi:type="dcterms:W3CDTF">2020-11-16T10:51:00Z</dcterms:modified>
</cp:coreProperties>
</file>