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28" w:rsidRDefault="00E22C28" w:rsidP="00E22C28">
      <w:pPr>
        <w:bidi/>
        <w:spacing w:after="0" w:line="240" w:lineRule="auto"/>
        <w:ind w:left="284"/>
        <w:rPr>
          <w:rFonts w:ascii="Arial" w:hAnsi="Arial"/>
          <w:lang w:bidi="ar-TN"/>
        </w:rPr>
      </w:pPr>
      <w:bookmarkStart w:id="0" w:name="_GoBack"/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رئيس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الحكومة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30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جوان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بتوزيع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أوقات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عمل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أعوان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الدولة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والجماعات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المحلية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والمؤسسات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العمومية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ذات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الصبغة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الإدارية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خلال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فترة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التوقيت</w:t>
      </w:r>
      <w:r w:rsidRPr="00E22C28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sz w:val="24"/>
          <w:szCs w:val="24"/>
          <w:rtl/>
          <w:lang w:bidi="ar-TN"/>
        </w:rPr>
        <w:t>الصيفي</w:t>
      </w:r>
    </w:p>
    <w:p w:rsid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إن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رئيس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الحكومة،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بعد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الاطلاع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الدستور،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112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1983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12 </w:t>
      </w:r>
      <w:r w:rsidRPr="00E22C28">
        <w:rPr>
          <w:rFonts w:ascii="Arial" w:hAnsi="Arial" w:hint="cs"/>
          <w:rtl/>
          <w:lang w:bidi="ar-TN"/>
        </w:rPr>
        <w:t>ديسمبر</w:t>
      </w:r>
      <w:r w:rsidRPr="00E22C28">
        <w:rPr>
          <w:rFonts w:ascii="Arial" w:hAnsi="Arial"/>
          <w:rtl/>
          <w:lang w:bidi="ar-TN"/>
        </w:rPr>
        <w:t xml:space="preserve"> 1983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النظام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لأعوان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الدولة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والجماعات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والمؤسسات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العمومية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ذات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الصبغة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الإدارية،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المرسوم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89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2011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23 </w:t>
      </w:r>
      <w:r w:rsidRPr="00E22C28">
        <w:rPr>
          <w:rFonts w:ascii="Arial" w:hAnsi="Arial" w:hint="cs"/>
          <w:rtl/>
          <w:lang w:bidi="ar-TN"/>
        </w:rPr>
        <w:t>سبتمبر</w:t>
      </w:r>
      <w:r w:rsidRPr="00E22C28">
        <w:rPr>
          <w:rFonts w:ascii="Arial" w:hAnsi="Arial"/>
          <w:rtl/>
          <w:lang w:bidi="ar-TN"/>
        </w:rPr>
        <w:t xml:space="preserve"> 2011</w:t>
      </w:r>
      <w:r w:rsidRPr="00E22C28">
        <w:rPr>
          <w:rFonts w:ascii="Arial" w:hAnsi="Arial" w:hint="cs"/>
          <w:rtl/>
          <w:lang w:bidi="ar-TN"/>
        </w:rPr>
        <w:t>،</w:t>
      </w:r>
      <w:r w:rsidRPr="00E22C28">
        <w:rPr>
          <w:rFonts w:ascii="Arial" w:hAnsi="Arial"/>
          <w:rtl/>
          <w:lang w:bidi="ar-TN"/>
        </w:rPr>
        <w:t xml:space="preserve"> 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20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1967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31 </w:t>
      </w:r>
      <w:r w:rsidRPr="00E22C28">
        <w:rPr>
          <w:rFonts w:ascii="Arial" w:hAnsi="Arial" w:hint="cs"/>
          <w:rtl/>
          <w:lang w:bidi="ar-TN"/>
        </w:rPr>
        <w:t>ماي</w:t>
      </w:r>
      <w:r w:rsidRPr="00E22C28">
        <w:rPr>
          <w:rFonts w:ascii="Arial" w:hAnsi="Arial"/>
          <w:rtl/>
          <w:lang w:bidi="ar-TN"/>
        </w:rPr>
        <w:t xml:space="preserve"> 1967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للعسكريين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47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2009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8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2009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29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1967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14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1967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بنظام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القضاء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والمجلس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للقضاء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للقضاة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81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2005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4 </w:t>
      </w:r>
      <w:r w:rsidRPr="00E22C28">
        <w:rPr>
          <w:rFonts w:ascii="Arial" w:hAnsi="Arial" w:hint="cs"/>
          <w:rtl/>
          <w:lang w:bidi="ar-TN"/>
        </w:rPr>
        <w:t>أوت</w:t>
      </w:r>
      <w:r w:rsidRPr="00E22C28">
        <w:rPr>
          <w:rFonts w:ascii="Arial" w:hAnsi="Arial"/>
          <w:rtl/>
          <w:lang w:bidi="ar-TN"/>
        </w:rPr>
        <w:t xml:space="preserve"> 2005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المرسوم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6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1970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26 </w:t>
      </w:r>
      <w:r w:rsidRPr="00E22C28">
        <w:rPr>
          <w:rFonts w:ascii="Arial" w:hAnsi="Arial" w:hint="cs"/>
          <w:rtl/>
          <w:lang w:bidi="ar-TN"/>
        </w:rPr>
        <w:t>سبتمبر</w:t>
      </w:r>
      <w:r w:rsidRPr="00E22C28">
        <w:rPr>
          <w:rFonts w:ascii="Arial" w:hAnsi="Arial"/>
          <w:rtl/>
          <w:lang w:bidi="ar-TN"/>
        </w:rPr>
        <w:t xml:space="preserve"> 1970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لأعضاء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دائرة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المحاسبات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والمصادق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عليه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46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1970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20 </w:t>
      </w:r>
      <w:r w:rsidRPr="00E22C28">
        <w:rPr>
          <w:rFonts w:ascii="Arial" w:hAnsi="Arial" w:hint="cs"/>
          <w:rtl/>
          <w:lang w:bidi="ar-TN"/>
        </w:rPr>
        <w:t>نوفمبر</w:t>
      </w:r>
      <w:r w:rsidRPr="00E22C28">
        <w:rPr>
          <w:rFonts w:ascii="Arial" w:hAnsi="Arial"/>
          <w:rtl/>
          <w:lang w:bidi="ar-TN"/>
        </w:rPr>
        <w:t xml:space="preserve"> 1970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المرسوم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90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2011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29 </w:t>
      </w:r>
      <w:r w:rsidRPr="00E22C28">
        <w:rPr>
          <w:rFonts w:ascii="Arial" w:hAnsi="Arial" w:hint="cs"/>
          <w:rtl/>
          <w:lang w:bidi="ar-TN"/>
        </w:rPr>
        <w:t>سبتمبر</w:t>
      </w:r>
      <w:r w:rsidRPr="00E22C28">
        <w:rPr>
          <w:rFonts w:ascii="Arial" w:hAnsi="Arial"/>
          <w:rtl/>
          <w:lang w:bidi="ar-TN"/>
        </w:rPr>
        <w:t xml:space="preserve"> 2011</w:t>
      </w:r>
      <w:r w:rsidRPr="00E22C28">
        <w:rPr>
          <w:rFonts w:ascii="Arial" w:hAnsi="Arial" w:hint="cs"/>
          <w:rtl/>
          <w:lang w:bidi="ar-TN"/>
        </w:rPr>
        <w:t>،</w:t>
      </w:r>
      <w:r w:rsidRPr="00E22C28">
        <w:rPr>
          <w:rFonts w:ascii="Arial" w:hAnsi="Arial"/>
          <w:rtl/>
          <w:lang w:bidi="ar-TN"/>
        </w:rPr>
        <w:t xml:space="preserve"> 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67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1972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أوت</w:t>
      </w:r>
      <w:r w:rsidRPr="00E22C28">
        <w:rPr>
          <w:rFonts w:ascii="Arial" w:hAnsi="Arial"/>
          <w:rtl/>
          <w:lang w:bidi="ar-TN"/>
        </w:rPr>
        <w:t xml:space="preserve"> 1972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بتسيير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المحكمة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لأعضائها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78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2001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24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2001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70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1982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6 </w:t>
      </w:r>
      <w:r w:rsidRPr="00E22C28">
        <w:rPr>
          <w:rFonts w:ascii="Arial" w:hAnsi="Arial" w:hint="cs"/>
          <w:rtl/>
          <w:lang w:bidi="ar-TN"/>
        </w:rPr>
        <w:t>أوت</w:t>
      </w:r>
      <w:r w:rsidRPr="00E22C28">
        <w:rPr>
          <w:rFonts w:ascii="Arial" w:hAnsi="Arial"/>
          <w:rtl/>
          <w:lang w:bidi="ar-TN"/>
        </w:rPr>
        <w:t xml:space="preserve"> 1982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لقوات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الداخلي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جميع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النصوص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نقحته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تممته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وخاصة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المرسوم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69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2011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29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2011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46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1995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15 </w:t>
      </w:r>
      <w:r w:rsidRPr="00E22C28">
        <w:rPr>
          <w:rFonts w:ascii="Arial" w:hAnsi="Arial" w:hint="cs"/>
          <w:rtl/>
          <w:lang w:bidi="ar-TN"/>
        </w:rPr>
        <w:t>ماي</w:t>
      </w:r>
      <w:r w:rsidRPr="00E22C28">
        <w:rPr>
          <w:rFonts w:ascii="Arial" w:hAnsi="Arial"/>
          <w:rtl/>
          <w:lang w:bidi="ar-TN"/>
        </w:rPr>
        <w:t xml:space="preserve"> 1995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النظام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لأعوان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الديوانة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كما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تنقيحه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وإتمامه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28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2013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30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2013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القانون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58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2006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28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2006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بإحداث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نظام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خاص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للعمل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نصف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الوقت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الانتفاع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بثلثي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الأجر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لفائدة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الأمهات،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المرسوم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70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2011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29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2011 </w:t>
      </w:r>
      <w:r w:rsidRPr="00E22C28">
        <w:rPr>
          <w:rFonts w:ascii="Arial" w:hAnsi="Arial" w:hint="cs"/>
          <w:rtl/>
          <w:lang w:bidi="ar-TN"/>
        </w:rPr>
        <w:t>والمتعلق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بتنظيم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القضاء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العسكري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وضبط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النظام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الأساسي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الخاص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بالقضاة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العسكريين،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1710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2012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14 </w:t>
      </w:r>
      <w:r w:rsidRPr="00E22C28">
        <w:rPr>
          <w:rFonts w:ascii="Arial" w:hAnsi="Arial" w:hint="cs"/>
          <w:rtl/>
          <w:lang w:bidi="ar-TN"/>
        </w:rPr>
        <w:t>سبتمبر</w:t>
      </w:r>
      <w:r w:rsidRPr="00E22C28">
        <w:rPr>
          <w:rFonts w:ascii="Arial" w:hAnsi="Arial"/>
          <w:rtl/>
          <w:lang w:bidi="ar-TN"/>
        </w:rPr>
        <w:t xml:space="preserve"> 2012 </w:t>
      </w:r>
      <w:r w:rsidRPr="00E22C28">
        <w:rPr>
          <w:rFonts w:ascii="Arial" w:hAnsi="Arial" w:hint="cs"/>
          <w:rtl/>
          <w:lang w:bidi="ar-TN"/>
        </w:rPr>
        <w:t>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بتوزيع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أوقات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وأيام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عمل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أعوان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الدولة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والجماعات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والمؤسسات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العمومية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ذات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الصبغة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كما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تنقيحه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بالأمر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الحكومي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810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2017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30 </w:t>
      </w:r>
      <w:r w:rsidRPr="00E22C28">
        <w:rPr>
          <w:rFonts w:ascii="Arial" w:hAnsi="Arial" w:hint="cs"/>
          <w:rtl/>
          <w:lang w:bidi="ar-TN"/>
        </w:rPr>
        <w:t>جوان</w:t>
      </w:r>
      <w:r w:rsidRPr="00E22C28">
        <w:rPr>
          <w:rFonts w:ascii="Arial" w:hAnsi="Arial"/>
          <w:rtl/>
          <w:lang w:bidi="ar-TN"/>
        </w:rPr>
        <w:t xml:space="preserve"> 2017</w:t>
      </w:r>
      <w:r w:rsidRPr="00E22C28">
        <w:rPr>
          <w:rFonts w:ascii="Arial" w:hAnsi="Arial" w:hint="cs"/>
          <w:rtl/>
          <w:lang w:bidi="ar-TN"/>
        </w:rPr>
        <w:t>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الرئاسي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107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2016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27 </w:t>
      </w:r>
      <w:r w:rsidRPr="00E22C28">
        <w:rPr>
          <w:rFonts w:ascii="Arial" w:hAnsi="Arial" w:hint="cs"/>
          <w:rtl/>
          <w:lang w:bidi="ar-TN"/>
        </w:rPr>
        <w:t>أوت</w:t>
      </w:r>
      <w:r w:rsidRPr="00E22C28">
        <w:rPr>
          <w:rFonts w:ascii="Arial" w:hAnsi="Arial"/>
          <w:rtl/>
          <w:lang w:bidi="ar-TN"/>
        </w:rPr>
        <w:t xml:space="preserve"> 2016 </w:t>
      </w:r>
      <w:r w:rsidRPr="00E22C28">
        <w:rPr>
          <w:rFonts w:ascii="Arial" w:hAnsi="Arial" w:hint="cs"/>
          <w:rtl/>
          <w:lang w:bidi="ar-TN"/>
        </w:rPr>
        <w:t>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بتسمية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رئيس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الحكومة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وأعضائها،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وعلى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الرئاسي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43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2017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17 </w:t>
      </w:r>
      <w:r w:rsidRPr="00E22C28">
        <w:rPr>
          <w:rFonts w:ascii="Arial" w:hAnsi="Arial" w:hint="cs"/>
          <w:rtl/>
          <w:lang w:bidi="ar-TN"/>
        </w:rPr>
        <w:t>مارس</w:t>
      </w:r>
      <w:r w:rsidRPr="00E22C28">
        <w:rPr>
          <w:rFonts w:ascii="Arial" w:hAnsi="Arial"/>
          <w:rtl/>
          <w:lang w:bidi="ar-TN"/>
        </w:rPr>
        <w:t xml:space="preserve"> 2017 </w:t>
      </w:r>
      <w:r w:rsidRPr="00E22C28">
        <w:rPr>
          <w:rFonts w:ascii="Arial" w:hAnsi="Arial" w:hint="cs"/>
          <w:rtl/>
          <w:lang w:bidi="ar-TN"/>
        </w:rPr>
        <w:t>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بتسمية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عضوين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بالحكومة</w:t>
      </w:r>
      <w:r w:rsidRPr="00E22C28">
        <w:rPr>
          <w:rFonts w:ascii="Arial" w:hAnsi="Arial"/>
          <w:lang w:bidi="ar-TN"/>
        </w:rPr>
        <w:t>.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قرر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يلي</w:t>
      </w:r>
      <w:r w:rsidRPr="00E22C28">
        <w:rPr>
          <w:rFonts w:ascii="Arial" w:hAnsi="Arial"/>
          <w:lang w:bidi="ar-TN"/>
        </w:rPr>
        <w:t>: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b/>
          <w:bCs/>
          <w:rtl/>
          <w:lang w:bidi="ar-TN"/>
        </w:rPr>
        <w:t>الفصل</w:t>
      </w:r>
      <w:r w:rsidRPr="00E22C28">
        <w:rPr>
          <w:rFonts w:ascii="Arial" w:hAnsi="Arial"/>
          <w:b/>
          <w:bCs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rtl/>
          <w:lang w:bidi="ar-TN"/>
        </w:rPr>
        <w:t>الأول</w:t>
      </w:r>
      <w:r>
        <w:rPr>
          <w:rFonts w:ascii="Arial" w:hAnsi="Arial"/>
          <w:lang w:bidi="ar-TN"/>
        </w:rPr>
        <w:t xml:space="preserve"> – </w:t>
      </w:r>
      <w:r w:rsidRPr="00E22C28">
        <w:rPr>
          <w:rFonts w:ascii="Arial" w:hAnsi="Arial" w:hint="cs"/>
          <w:rtl/>
          <w:lang w:bidi="ar-TN"/>
        </w:rPr>
        <w:t>مع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مراعاة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أحكام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الفصول</w:t>
      </w:r>
      <w:r w:rsidRPr="00E22C28">
        <w:rPr>
          <w:rFonts w:ascii="Arial" w:hAnsi="Arial"/>
          <w:rtl/>
          <w:lang w:bidi="ar-TN"/>
        </w:rPr>
        <w:t xml:space="preserve"> 4 </w:t>
      </w:r>
      <w:r w:rsidRPr="00E22C28">
        <w:rPr>
          <w:rFonts w:ascii="Arial" w:hAnsi="Arial" w:hint="cs"/>
          <w:rtl/>
          <w:lang w:bidi="ar-TN"/>
        </w:rPr>
        <w:t>و</w:t>
      </w:r>
      <w:r w:rsidRPr="00E22C28">
        <w:rPr>
          <w:rFonts w:ascii="Arial" w:hAnsi="Arial"/>
          <w:rtl/>
          <w:lang w:bidi="ar-TN"/>
        </w:rPr>
        <w:t xml:space="preserve">5 </w:t>
      </w:r>
      <w:r w:rsidRPr="00E22C28">
        <w:rPr>
          <w:rFonts w:ascii="Arial" w:hAnsi="Arial" w:hint="cs"/>
          <w:rtl/>
          <w:lang w:bidi="ar-TN"/>
        </w:rPr>
        <w:t>و</w:t>
      </w:r>
      <w:r w:rsidRPr="00E22C28">
        <w:rPr>
          <w:rFonts w:ascii="Arial" w:hAnsi="Arial"/>
          <w:rtl/>
          <w:lang w:bidi="ar-TN"/>
        </w:rPr>
        <w:t xml:space="preserve">6 </w:t>
      </w:r>
      <w:r w:rsidRPr="00E22C28">
        <w:rPr>
          <w:rFonts w:ascii="Arial" w:hAnsi="Arial" w:hint="cs"/>
          <w:rtl/>
          <w:lang w:bidi="ar-TN"/>
        </w:rPr>
        <w:t>و</w:t>
      </w:r>
      <w:r w:rsidRPr="00E22C28">
        <w:rPr>
          <w:rFonts w:ascii="Arial" w:hAnsi="Arial"/>
          <w:rtl/>
          <w:lang w:bidi="ar-TN"/>
        </w:rPr>
        <w:t xml:space="preserve">7 </w:t>
      </w:r>
      <w:r w:rsidRPr="00E22C28">
        <w:rPr>
          <w:rFonts w:ascii="Arial" w:hAnsi="Arial" w:hint="cs"/>
          <w:rtl/>
          <w:lang w:bidi="ar-TN"/>
        </w:rPr>
        <w:t>و</w:t>
      </w:r>
      <w:r w:rsidRPr="00E22C28">
        <w:rPr>
          <w:rFonts w:ascii="Arial" w:hAnsi="Arial"/>
          <w:rtl/>
          <w:lang w:bidi="ar-TN"/>
        </w:rPr>
        <w:t xml:space="preserve">8 </w:t>
      </w:r>
      <w:r w:rsidRPr="00E22C28">
        <w:rPr>
          <w:rFonts w:ascii="Arial" w:hAnsi="Arial" w:hint="cs"/>
          <w:rtl/>
          <w:lang w:bidi="ar-TN"/>
        </w:rPr>
        <w:t>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الأمر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عدد</w:t>
      </w:r>
      <w:r w:rsidRPr="00E22C28">
        <w:rPr>
          <w:rFonts w:ascii="Arial" w:hAnsi="Arial"/>
          <w:rtl/>
          <w:lang w:bidi="ar-TN"/>
        </w:rPr>
        <w:t xml:space="preserve"> 1710 </w:t>
      </w:r>
      <w:r w:rsidRPr="00E22C28">
        <w:rPr>
          <w:rFonts w:ascii="Arial" w:hAnsi="Arial" w:hint="cs"/>
          <w:rtl/>
          <w:lang w:bidi="ar-TN"/>
        </w:rPr>
        <w:t>لسنة</w:t>
      </w:r>
      <w:r w:rsidRPr="00E22C28">
        <w:rPr>
          <w:rFonts w:ascii="Arial" w:hAnsi="Arial"/>
          <w:rtl/>
          <w:lang w:bidi="ar-TN"/>
        </w:rPr>
        <w:t xml:space="preserve"> 2012 </w:t>
      </w:r>
      <w:r w:rsidRPr="00E22C28">
        <w:rPr>
          <w:rFonts w:ascii="Arial" w:hAnsi="Arial" w:hint="cs"/>
          <w:rtl/>
          <w:lang w:bidi="ar-TN"/>
        </w:rPr>
        <w:t>المؤرخ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</w:t>
      </w:r>
      <w:r w:rsidRPr="00E22C28">
        <w:rPr>
          <w:rFonts w:ascii="Arial" w:hAnsi="Arial"/>
          <w:rtl/>
          <w:lang w:bidi="ar-TN"/>
        </w:rPr>
        <w:t xml:space="preserve"> 14 </w:t>
      </w:r>
      <w:r w:rsidRPr="00E22C28">
        <w:rPr>
          <w:rFonts w:ascii="Arial" w:hAnsi="Arial" w:hint="cs"/>
          <w:rtl/>
          <w:lang w:bidi="ar-TN"/>
        </w:rPr>
        <w:t>سبتمبر</w:t>
      </w:r>
      <w:r w:rsidRPr="00E22C28">
        <w:rPr>
          <w:rFonts w:ascii="Arial" w:hAnsi="Arial"/>
          <w:rtl/>
          <w:lang w:bidi="ar-TN"/>
        </w:rPr>
        <w:t xml:space="preserve"> 2012 </w:t>
      </w:r>
      <w:r w:rsidRPr="00E22C28">
        <w:rPr>
          <w:rFonts w:ascii="Arial" w:hAnsi="Arial" w:hint="cs"/>
          <w:rtl/>
          <w:lang w:bidi="ar-TN"/>
        </w:rPr>
        <w:t>المتعلق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بتوزيع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أوقات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وأيام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عمل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أعوان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الدولة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والجماعات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والمؤسسات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العمومية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ذات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الصبغة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الإدارية،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توزع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أوقات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بالإدارات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المركزية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والمصالح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الخارجية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والجماعات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والمؤسسات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العمومية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ذات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الصبغة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خلال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فترة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التوقيت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الصيفي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تمتد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غرة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جويلية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إلى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موفى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أوت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على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النحو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التالي</w:t>
      </w:r>
      <w:r w:rsidRPr="00E22C28">
        <w:rPr>
          <w:rFonts w:ascii="Arial" w:hAnsi="Arial"/>
          <w:lang w:bidi="ar-TN"/>
        </w:rPr>
        <w:t>:</w:t>
      </w:r>
    </w:p>
    <w:p w:rsidR="00E22C28" w:rsidRPr="00E22C28" w:rsidRDefault="00E22C28" w:rsidP="00E22C28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rtl/>
          <w:lang w:bidi="ar-TN"/>
        </w:rPr>
      </w:pPr>
      <w:r w:rsidRPr="00E22C28">
        <w:rPr>
          <w:rFonts w:ascii="Arial" w:hAnsi="Arial" w:hint="cs"/>
          <w:rtl/>
          <w:lang w:bidi="ar-TN"/>
        </w:rPr>
        <w:t>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يوم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الاثنين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إلى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يوم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الخميس: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الثامنة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صباحا</w:t>
      </w:r>
      <w:r w:rsidRPr="00E22C28">
        <w:rPr>
          <w:rFonts w:ascii="Arial" w:hAnsi="Arial"/>
          <w:rtl/>
          <w:lang w:bidi="ar-TN"/>
        </w:rPr>
        <w:t xml:space="preserve"> (08.00) </w:t>
      </w:r>
      <w:r w:rsidRPr="00E22C28">
        <w:rPr>
          <w:rFonts w:ascii="Arial" w:hAnsi="Arial" w:hint="cs"/>
          <w:rtl/>
          <w:lang w:bidi="ar-TN"/>
        </w:rPr>
        <w:t>إلى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الساعة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الثانية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والنصف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بعد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الزوال</w:t>
      </w:r>
      <w:r w:rsidRPr="00E22C28">
        <w:rPr>
          <w:rFonts w:ascii="Arial" w:hAnsi="Arial"/>
          <w:rtl/>
          <w:lang w:bidi="ar-TN"/>
        </w:rPr>
        <w:t xml:space="preserve"> (14.30</w:t>
      </w:r>
      <w:r w:rsidRPr="00E22C28">
        <w:rPr>
          <w:rFonts w:ascii="Arial" w:hAnsi="Arial" w:hint="cs"/>
          <w:rtl/>
          <w:lang w:bidi="ar-TN"/>
        </w:rPr>
        <w:t>).</w:t>
      </w:r>
    </w:p>
    <w:p w:rsidR="00E22C28" w:rsidRPr="00E22C28" w:rsidRDefault="00E22C28" w:rsidP="00E22C28">
      <w:pPr>
        <w:pStyle w:val="Paragraphedeliste"/>
        <w:numPr>
          <w:ilvl w:val="0"/>
          <w:numId w:val="4"/>
        </w:numPr>
        <w:bidi/>
        <w:spacing w:after="0" w:line="240" w:lineRule="auto"/>
        <w:ind w:left="927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rtl/>
          <w:lang w:bidi="ar-TN"/>
        </w:rPr>
        <w:t>يوم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الجمعة</w:t>
      </w:r>
      <w:r w:rsidRPr="00E22C28">
        <w:rPr>
          <w:rFonts w:ascii="Arial" w:hAnsi="Arial"/>
          <w:rtl/>
          <w:lang w:bidi="ar-TN"/>
        </w:rPr>
        <w:t xml:space="preserve"> : </w:t>
      </w:r>
      <w:r w:rsidRPr="00E22C28">
        <w:rPr>
          <w:rFonts w:ascii="Arial" w:hAnsi="Arial" w:hint="cs"/>
          <w:rtl/>
          <w:lang w:bidi="ar-TN"/>
        </w:rPr>
        <w:t>من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الثامنة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صباحا</w:t>
      </w:r>
      <w:r w:rsidRPr="00E22C28">
        <w:rPr>
          <w:rFonts w:ascii="Arial" w:hAnsi="Arial"/>
          <w:rtl/>
          <w:lang w:bidi="ar-TN"/>
        </w:rPr>
        <w:t xml:space="preserve"> (08.00) </w:t>
      </w:r>
      <w:r w:rsidRPr="00E22C28">
        <w:rPr>
          <w:rFonts w:ascii="Arial" w:hAnsi="Arial" w:hint="cs"/>
          <w:rtl/>
          <w:lang w:bidi="ar-TN"/>
        </w:rPr>
        <w:t>إلى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الساعة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الواحدة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والنصف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بعد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الزوال</w:t>
      </w:r>
      <w:r w:rsidRPr="00E22C28">
        <w:rPr>
          <w:rFonts w:ascii="Arial" w:hAnsi="Arial"/>
          <w:rtl/>
          <w:lang w:bidi="ar-TN"/>
        </w:rPr>
        <w:t xml:space="preserve"> (13.30</w:t>
      </w:r>
      <w:r w:rsidRPr="00E22C28">
        <w:rPr>
          <w:rFonts w:ascii="Arial" w:hAnsi="Arial" w:hint="cs"/>
          <w:rtl/>
          <w:lang w:bidi="ar-TN"/>
        </w:rPr>
        <w:t>).</w:t>
      </w:r>
    </w:p>
    <w:p w:rsidR="00E22C28" w:rsidRDefault="00E22C28" w:rsidP="00E22C28">
      <w:pPr>
        <w:bidi/>
        <w:spacing w:after="0" w:line="240" w:lineRule="auto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3"/>
        <w:jc w:val="both"/>
        <w:rPr>
          <w:rFonts w:ascii="Arial" w:hAnsi="Arial"/>
          <w:lang w:bidi="ar-TN"/>
        </w:rPr>
      </w:pPr>
      <w:r w:rsidRPr="00E22C28">
        <w:rPr>
          <w:rFonts w:ascii="Arial" w:hAnsi="Arial" w:hint="cs"/>
          <w:b/>
          <w:bCs/>
          <w:rtl/>
          <w:lang w:bidi="ar-TN"/>
        </w:rPr>
        <w:t>الفصل</w:t>
      </w:r>
      <w:r w:rsidRPr="00E22C28">
        <w:rPr>
          <w:rFonts w:ascii="Arial" w:hAnsi="Arial"/>
          <w:b/>
          <w:bCs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rtl/>
          <w:lang w:bidi="ar-TN"/>
        </w:rPr>
        <w:t xml:space="preserve">2 </w:t>
      </w:r>
      <w:r w:rsidRPr="00E22C28">
        <w:rPr>
          <w:rFonts w:ascii="Arial" w:hAnsi="Arial"/>
          <w:b/>
          <w:bCs/>
          <w:rtl/>
          <w:lang w:bidi="ar-TN"/>
        </w:rPr>
        <w:t>–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الوزراء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وكتاب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الدولة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ورؤساء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الجماعات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المحلية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والمديرون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العامون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للمؤسسات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العمومية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ذات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الصبغة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الإدارية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مكلفون،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كل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فيما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يخصه،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بتنفيذ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هذا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القرار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الذي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ينشر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بالرائد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الرسمي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للجمهورية</w:t>
      </w:r>
      <w:r w:rsidRPr="00E22C28">
        <w:rPr>
          <w:rFonts w:ascii="Arial" w:hAnsi="Arial"/>
          <w:rtl/>
          <w:lang w:bidi="ar-TN"/>
        </w:rPr>
        <w:t xml:space="preserve"> </w:t>
      </w:r>
      <w:r w:rsidRPr="00E22C28">
        <w:rPr>
          <w:rFonts w:ascii="Arial" w:hAnsi="Arial" w:hint="cs"/>
          <w:rtl/>
          <w:lang w:bidi="ar-TN"/>
        </w:rPr>
        <w:t>التونسية</w:t>
      </w:r>
      <w:r w:rsidRPr="00E22C28">
        <w:rPr>
          <w:rFonts w:ascii="Arial" w:hAnsi="Arial"/>
          <w:lang w:bidi="ar-TN"/>
        </w:rPr>
        <w:t>.</w:t>
      </w: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E22C28" w:rsidRPr="00E22C28" w:rsidRDefault="00E22C28" w:rsidP="00E22C28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E22C28">
        <w:rPr>
          <w:rFonts w:ascii="Arial" w:hAnsi="Arial" w:hint="cs"/>
          <w:b/>
          <w:bCs/>
          <w:rtl/>
          <w:lang w:bidi="ar-TN"/>
        </w:rPr>
        <w:t>تونس</w:t>
      </w:r>
      <w:r w:rsidRPr="00E22C28">
        <w:rPr>
          <w:rFonts w:ascii="Arial" w:hAnsi="Arial"/>
          <w:b/>
          <w:bCs/>
          <w:rtl/>
          <w:lang w:bidi="ar-TN"/>
        </w:rPr>
        <w:t xml:space="preserve"> </w:t>
      </w:r>
      <w:r w:rsidRPr="00E22C28">
        <w:rPr>
          <w:rFonts w:ascii="Arial" w:hAnsi="Arial" w:hint="cs"/>
          <w:b/>
          <w:bCs/>
          <w:rtl/>
          <w:lang w:bidi="ar-TN"/>
        </w:rPr>
        <w:t>في</w:t>
      </w:r>
      <w:r w:rsidRPr="00E22C28">
        <w:rPr>
          <w:rFonts w:ascii="Arial" w:hAnsi="Arial"/>
          <w:b/>
          <w:bCs/>
          <w:rtl/>
          <w:lang w:bidi="ar-TN"/>
        </w:rPr>
        <w:t xml:space="preserve"> 30 </w:t>
      </w:r>
      <w:r w:rsidRPr="00E22C28">
        <w:rPr>
          <w:rFonts w:ascii="Arial" w:hAnsi="Arial" w:hint="cs"/>
          <w:b/>
          <w:bCs/>
          <w:rtl/>
          <w:lang w:bidi="ar-TN"/>
        </w:rPr>
        <w:t>جوان</w:t>
      </w:r>
      <w:r w:rsidRPr="00E22C28">
        <w:rPr>
          <w:rFonts w:ascii="Arial" w:hAnsi="Arial"/>
          <w:b/>
          <w:bCs/>
          <w:rtl/>
          <w:lang w:bidi="ar-TN"/>
        </w:rPr>
        <w:t xml:space="preserve"> 2017</w:t>
      </w:r>
      <w:r w:rsidRPr="00E22C28">
        <w:rPr>
          <w:rFonts w:ascii="Arial" w:hAnsi="Arial"/>
          <w:b/>
          <w:bCs/>
          <w:lang w:bidi="ar-TN"/>
        </w:rPr>
        <w:t>.</w:t>
      </w:r>
    </w:p>
    <w:bookmarkEnd w:id="0"/>
    <w:p w:rsidR="002E4E28" w:rsidRPr="008D0D57" w:rsidRDefault="007616B4" w:rsidP="00E22C28">
      <w:pPr>
        <w:bidi/>
        <w:spacing w:after="0" w:line="240" w:lineRule="auto"/>
        <w:ind w:left="284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B4" w:rsidRDefault="007616B4">
      <w:pPr>
        <w:spacing w:after="0" w:line="240" w:lineRule="auto"/>
      </w:pPr>
      <w:r>
        <w:separator/>
      </w:r>
    </w:p>
  </w:endnote>
  <w:endnote w:type="continuationSeparator" w:id="0">
    <w:p w:rsidR="007616B4" w:rsidRDefault="007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71DA0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7616B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71DA0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7616B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16B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16B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16B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16B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B4" w:rsidRDefault="007616B4">
      <w:pPr>
        <w:spacing w:after="0" w:line="240" w:lineRule="auto"/>
      </w:pPr>
      <w:r>
        <w:separator/>
      </w:r>
    </w:p>
  </w:footnote>
  <w:footnote w:type="continuationSeparator" w:id="0">
    <w:p w:rsidR="007616B4" w:rsidRDefault="0076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616B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7616B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616B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7616B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7616B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7616B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1D1F67"/>
    <w:multiLevelType w:val="hybridMultilevel"/>
    <w:tmpl w:val="F91675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8"/>
    <w:rsid w:val="00171DA0"/>
    <w:rsid w:val="00182C27"/>
    <w:rsid w:val="004F2FE7"/>
    <w:rsid w:val="005A6D96"/>
    <w:rsid w:val="006E651F"/>
    <w:rsid w:val="007616B4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  <w:rsid w:val="00E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B4370"/>
  <w15:chartTrackingRefBased/>
  <w15:docId w15:val="{BAB9FEB5-3083-483A-97A1-85D4D1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E2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7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2017-07-03T13:27:00Z</cp:lastPrinted>
  <dcterms:created xsi:type="dcterms:W3CDTF">2017-07-03T13:22:00Z</dcterms:created>
  <dcterms:modified xsi:type="dcterms:W3CDTF">2017-07-03T13:29:00Z</dcterms:modified>
</cp:coreProperties>
</file>