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3E926F62" w14:textId="77777777" w:rsidR="00C75ED1" w:rsidRPr="00C75ED1" w:rsidRDefault="00C75ED1" w:rsidP="00C75ED1">
      <w:pPr>
        <w:bidi/>
        <w:spacing w:before="100" w:beforeAutospacing="1" w:after="0"/>
        <w:ind w:left="283"/>
        <w:jc w:val="both"/>
        <w:rPr>
          <w:rFonts w:ascii="Calibri" w:eastAsia="Calibri" w:hAnsi="Calibri" w:cs="Arial"/>
          <w:b/>
          <w:bCs/>
          <w:sz w:val="24"/>
          <w:szCs w:val="24"/>
          <w:lang w:eastAsia="en-US" w:bidi="ar-TN"/>
        </w:rPr>
      </w:pPr>
      <w:r w:rsidRPr="00C75ED1">
        <w:rPr>
          <w:rFonts w:ascii="Calibri" w:eastAsia="Calibri" w:hAnsi="Calibri" w:cs="Arial" w:hint="cs"/>
          <w:b/>
          <w:bCs/>
          <w:sz w:val="24"/>
          <w:szCs w:val="24"/>
          <w:rtl/>
          <w:lang w:eastAsia="en-US" w:bidi="ar-TN"/>
        </w:rPr>
        <w:t>قرار من وزير العدل مؤرخ في 26 جوان 1993 يتعلق بتدريس مادة حقوق الإنيان في إطار التكوين والتأهيل بالمعهد الأعلى للقضاء</w:t>
      </w:r>
    </w:p>
    <w:p w14:paraId="12C7C84A"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 xml:space="preserve">إن </w:t>
      </w:r>
      <w:proofErr w:type="gramStart"/>
      <w:r w:rsidRPr="00C75ED1">
        <w:rPr>
          <w:rFonts w:ascii="Calibri" w:eastAsia="Calibri" w:hAnsi="Calibri" w:cs="Arial" w:hint="cs"/>
          <w:rtl/>
          <w:lang w:eastAsia="en-US" w:bidi="ar-TN"/>
        </w:rPr>
        <w:t>وزير</w:t>
      </w:r>
      <w:proofErr w:type="gramEnd"/>
      <w:r w:rsidRPr="00C75ED1">
        <w:rPr>
          <w:rFonts w:ascii="Calibri" w:eastAsia="Calibri" w:hAnsi="Calibri" w:cs="Arial" w:hint="cs"/>
          <w:rtl/>
          <w:lang w:eastAsia="en-US" w:bidi="ar-TN"/>
        </w:rPr>
        <w:t xml:space="preserve"> العدل،</w:t>
      </w:r>
    </w:p>
    <w:p w14:paraId="155B6F84"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بعد الاطلاع على القانون عدد 80 لسنة 1985 المؤرخ في 11 أوت 1985 والقاضي بإحداث المعهد الأعلى للقضاء، كما وقع تنقيحه وإتمامه بالقانون عدد 70 لسنة 1992 المؤرخ في 27 جويلية 1992،</w:t>
      </w:r>
    </w:p>
    <w:p w14:paraId="6FD1CA01"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proofErr w:type="gramStart"/>
      <w:r w:rsidRPr="00C75ED1">
        <w:rPr>
          <w:rFonts w:ascii="Calibri" w:eastAsia="Calibri" w:hAnsi="Calibri" w:cs="Arial" w:hint="cs"/>
          <w:rtl/>
          <w:lang w:eastAsia="en-US" w:bidi="ar-TN"/>
        </w:rPr>
        <w:t>وعلى</w:t>
      </w:r>
      <w:proofErr w:type="gramEnd"/>
      <w:r w:rsidRPr="00C75ED1">
        <w:rPr>
          <w:rFonts w:ascii="Calibri" w:eastAsia="Calibri" w:hAnsi="Calibri" w:cs="Arial" w:hint="cs"/>
          <w:rtl/>
          <w:lang w:eastAsia="en-US" w:bidi="ar-TN"/>
        </w:rPr>
        <w:t xml:space="preserve"> الأمر عدد 1312 لسنة 1987 المؤرخ في 5 ديسمبر 1987، المتعلق بتنظيم المعهد الأعلى للقضاء وضبط نظام الدراسات والامتحانات والنظام الأساسي للملحقين القضائيين،</w:t>
      </w:r>
    </w:p>
    <w:p w14:paraId="5E3F8B43"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وعلى القرار المؤرخ في 18 جانفي 1989 المتعلق ببرامج الدروس وحصص التأهيل بالمعهد الأعلى للقضاء.</w:t>
      </w:r>
    </w:p>
    <w:p w14:paraId="46CE6FC4"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قرر ما يأتي:</w:t>
      </w:r>
    </w:p>
    <w:p w14:paraId="78A297A7"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b/>
          <w:bCs/>
          <w:rtl/>
          <w:lang w:eastAsia="en-US" w:bidi="ar-TN"/>
        </w:rPr>
        <w:t>الفصل الأول –</w:t>
      </w:r>
      <w:r w:rsidRPr="00C75ED1">
        <w:rPr>
          <w:rFonts w:ascii="Calibri" w:eastAsia="Calibri" w:hAnsi="Calibri" w:cs="Arial" w:hint="cs"/>
          <w:rtl/>
          <w:lang w:eastAsia="en-US" w:bidi="ar-TN"/>
        </w:rPr>
        <w:t xml:space="preserve"> يشمل التأهيل والتكوين بالمعهد الأعلى للقضاء ضمن المواد الرئيسية دروسا في مجال حقوق الإنسان.</w:t>
      </w:r>
    </w:p>
    <w:p w14:paraId="10A0DFA0"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وتهدف هذه الدروس إلى تنمية المعارف بدراسة الاتفاقيات الدولية والتوصيات ومبادئ السلوك التي تصدرها الأمم المتحدة والمنظمات الإقليمية في مجال حقوق الإنسان والتعرف على آليات الحماية الدولية والقانون المقارن.</w:t>
      </w:r>
    </w:p>
    <w:p w14:paraId="06AFBDA4"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rtl/>
          <w:lang w:eastAsia="en-US" w:bidi="ar-TN"/>
        </w:rPr>
        <w:t>كما تهدف هذه الدروس وما يرتبط بها من تظاهرات تطبيقية كالمحاكمات التدريبية وأساليب التثقيف الأخرى إلى إذكاء الحس الانساني بالمعايير العالمية الرامية لضمان حقوق المتقاضين وإقامة العدل.</w:t>
      </w:r>
    </w:p>
    <w:p w14:paraId="1F0AFF1E" w14:textId="77777777" w:rsidR="00C75ED1" w:rsidRPr="00C75ED1" w:rsidRDefault="00C75ED1" w:rsidP="00C75ED1">
      <w:pPr>
        <w:bidi/>
        <w:spacing w:before="100" w:beforeAutospacing="1" w:after="0"/>
        <w:ind w:left="283"/>
        <w:jc w:val="both"/>
        <w:rPr>
          <w:rFonts w:ascii="Calibri" w:eastAsia="Calibri" w:hAnsi="Calibri" w:cs="Arial" w:hint="cs"/>
          <w:rtl/>
          <w:lang w:eastAsia="en-US" w:bidi="ar-TN"/>
        </w:rPr>
      </w:pPr>
      <w:r w:rsidRPr="00C75ED1">
        <w:rPr>
          <w:rFonts w:ascii="Calibri" w:eastAsia="Calibri" w:hAnsi="Calibri" w:cs="Arial" w:hint="cs"/>
          <w:b/>
          <w:bCs/>
          <w:rtl/>
          <w:lang w:eastAsia="en-US" w:bidi="ar-TN"/>
        </w:rPr>
        <w:t>الفصل 2 –</w:t>
      </w:r>
      <w:r w:rsidRPr="00C75ED1">
        <w:rPr>
          <w:rFonts w:ascii="Calibri" w:eastAsia="Calibri" w:hAnsi="Calibri" w:cs="Arial" w:hint="cs"/>
          <w:rtl/>
          <w:lang w:eastAsia="en-US" w:bidi="ar-TN"/>
        </w:rPr>
        <w:t xml:space="preserve"> تدرس مادة حقوق الانسان في سداسيين اثنين، يتناول السداسي الأول الآليات الدولية المهتمة بحقوق الإنسان ويتناول السداسي الثاني آليات حماية حقوق الإنسان وذلك كما يلي:</w:t>
      </w:r>
    </w:p>
    <w:p w14:paraId="03E9E0C4" w14:textId="77777777" w:rsidR="00C75ED1" w:rsidRPr="00C75ED1" w:rsidRDefault="00C75ED1" w:rsidP="00C75ED1">
      <w:pPr>
        <w:numPr>
          <w:ilvl w:val="0"/>
          <w:numId w:val="12"/>
        </w:numPr>
        <w:bidi/>
        <w:spacing w:before="100" w:beforeAutospacing="1" w:after="0"/>
        <w:ind w:left="1494"/>
        <w:contextualSpacing/>
        <w:jc w:val="both"/>
        <w:rPr>
          <w:rFonts w:ascii="Calibri" w:eastAsia="Calibri" w:hAnsi="Calibri" w:cs="Arial" w:hint="cs"/>
          <w:lang w:eastAsia="en-US" w:bidi="ar-TN"/>
        </w:rPr>
      </w:pPr>
      <w:r w:rsidRPr="00C75ED1">
        <w:rPr>
          <w:rFonts w:ascii="Calibri" w:eastAsia="Calibri" w:hAnsi="Calibri" w:cs="Arial" w:hint="cs"/>
          <w:rtl/>
          <w:lang w:eastAsia="en-US" w:bidi="ar-TN"/>
        </w:rPr>
        <w:t xml:space="preserve">تدريس الآليات الدولية المهتمة بحقوق الإنسان </w:t>
      </w:r>
      <w:proofErr w:type="gramStart"/>
      <w:r w:rsidRPr="00C75ED1">
        <w:rPr>
          <w:rFonts w:ascii="Calibri" w:eastAsia="Calibri" w:hAnsi="Calibri" w:cs="Arial" w:hint="cs"/>
          <w:rtl/>
          <w:lang w:eastAsia="en-US" w:bidi="ar-TN"/>
        </w:rPr>
        <w:t>من</w:t>
      </w:r>
      <w:proofErr w:type="gramEnd"/>
      <w:r w:rsidRPr="00C75ED1">
        <w:rPr>
          <w:rFonts w:ascii="Calibri" w:eastAsia="Calibri" w:hAnsi="Calibri" w:cs="Arial" w:hint="cs"/>
          <w:rtl/>
          <w:lang w:eastAsia="en-US" w:bidi="ar-TN"/>
        </w:rPr>
        <w:t>:</w:t>
      </w:r>
    </w:p>
    <w:p w14:paraId="3E6081E4" w14:textId="77777777" w:rsidR="00C75ED1" w:rsidRPr="00C75ED1" w:rsidRDefault="00C75ED1" w:rsidP="00C75ED1">
      <w:pPr>
        <w:numPr>
          <w:ilvl w:val="0"/>
          <w:numId w:val="13"/>
        </w:numPr>
        <w:bidi/>
        <w:spacing w:before="100" w:beforeAutospacing="1" w:after="0"/>
        <w:ind w:left="1777"/>
        <w:contextualSpacing/>
        <w:jc w:val="both"/>
        <w:rPr>
          <w:rFonts w:ascii="Calibri" w:eastAsia="Calibri" w:hAnsi="Calibri" w:cs="Arial" w:hint="cs"/>
          <w:lang w:eastAsia="en-US" w:bidi="ar-TN"/>
        </w:rPr>
      </w:pPr>
      <w:r w:rsidRPr="00C75ED1">
        <w:rPr>
          <w:rFonts w:ascii="Calibri" w:eastAsia="Calibri" w:hAnsi="Calibri" w:cs="Arial" w:hint="cs"/>
          <w:rtl/>
          <w:lang w:eastAsia="en-US" w:bidi="ar-TN"/>
        </w:rPr>
        <w:t>اتفاقيات دولية معتمدة من قبل الأمم المتحدة وغيرها من الوثائق والصكوك الدولية (إعلانات – توصيات – مبادئ السلوك)</w:t>
      </w:r>
    </w:p>
    <w:p w14:paraId="1763D4A2" w14:textId="77777777" w:rsidR="00C75ED1" w:rsidRPr="00C75ED1" w:rsidRDefault="00C75ED1" w:rsidP="00C75ED1">
      <w:pPr>
        <w:numPr>
          <w:ilvl w:val="0"/>
          <w:numId w:val="13"/>
        </w:numPr>
        <w:bidi/>
        <w:spacing w:before="100" w:beforeAutospacing="1" w:after="0"/>
        <w:ind w:left="1777"/>
        <w:contextualSpacing/>
        <w:jc w:val="both"/>
        <w:rPr>
          <w:rFonts w:ascii="Calibri" w:eastAsia="Calibri" w:hAnsi="Calibri" w:cs="Arial" w:hint="cs"/>
          <w:lang w:eastAsia="en-US" w:bidi="ar-TN"/>
        </w:rPr>
      </w:pPr>
      <w:r w:rsidRPr="00C75ED1">
        <w:rPr>
          <w:rFonts w:ascii="Calibri" w:eastAsia="Calibri" w:hAnsi="Calibri" w:cs="Arial" w:hint="cs"/>
          <w:rtl/>
          <w:lang w:eastAsia="en-US" w:bidi="ar-TN"/>
        </w:rPr>
        <w:t>نماذج الاتفاقيات الإقليمية المعتمدة على الصعيد العربي والإسلامي والإفريقي وكذلك المعتمدة على الصعيد الأوروبي والأمريكي.</w:t>
      </w:r>
    </w:p>
    <w:p w14:paraId="6BE1054B" w14:textId="77777777" w:rsidR="00C75ED1" w:rsidRPr="00C75ED1" w:rsidRDefault="00C75ED1" w:rsidP="00C75ED1">
      <w:pPr>
        <w:numPr>
          <w:ilvl w:val="0"/>
          <w:numId w:val="12"/>
        </w:numPr>
        <w:bidi/>
        <w:spacing w:before="100" w:beforeAutospacing="1" w:after="0"/>
        <w:ind w:left="1494"/>
        <w:contextualSpacing/>
        <w:jc w:val="both"/>
        <w:rPr>
          <w:rFonts w:ascii="Calibri" w:eastAsia="Calibri" w:hAnsi="Calibri" w:cs="Arial" w:hint="cs"/>
          <w:lang w:eastAsia="en-US" w:bidi="ar-TN"/>
        </w:rPr>
      </w:pPr>
      <w:r w:rsidRPr="00C75ED1">
        <w:rPr>
          <w:rFonts w:ascii="Calibri" w:eastAsia="Calibri" w:hAnsi="Calibri" w:cs="Arial" w:hint="cs"/>
          <w:rtl/>
          <w:lang w:eastAsia="en-US" w:bidi="ar-TN"/>
        </w:rPr>
        <w:t>تد</w:t>
      </w:r>
      <w:bookmarkStart w:id="0" w:name="_GoBack"/>
      <w:bookmarkEnd w:id="0"/>
      <w:r w:rsidRPr="00C75ED1">
        <w:rPr>
          <w:rFonts w:ascii="Calibri" w:eastAsia="Calibri" w:hAnsi="Calibri" w:cs="Arial" w:hint="cs"/>
          <w:rtl/>
          <w:lang w:eastAsia="en-US" w:bidi="ar-TN"/>
        </w:rPr>
        <w:t>ريس آليات حماية حقوق الإنسان:</w:t>
      </w:r>
    </w:p>
    <w:p w14:paraId="32950229" w14:textId="77777777" w:rsidR="00C75ED1" w:rsidRPr="00C75ED1" w:rsidRDefault="00C75ED1" w:rsidP="00C75ED1">
      <w:pPr>
        <w:numPr>
          <w:ilvl w:val="0"/>
          <w:numId w:val="14"/>
        </w:numPr>
        <w:bidi/>
        <w:spacing w:before="100" w:beforeAutospacing="1" w:after="0"/>
        <w:ind w:left="1777"/>
        <w:contextualSpacing/>
        <w:jc w:val="both"/>
        <w:rPr>
          <w:rFonts w:ascii="Calibri" w:eastAsia="Calibri" w:hAnsi="Calibri" w:cs="Arial" w:hint="cs"/>
          <w:lang w:eastAsia="en-US" w:bidi="ar-TN"/>
        </w:rPr>
      </w:pPr>
      <w:proofErr w:type="gramStart"/>
      <w:r w:rsidRPr="00C75ED1">
        <w:rPr>
          <w:rFonts w:ascii="Calibri" w:eastAsia="Calibri" w:hAnsi="Calibri" w:cs="Arial" w:hint="cs"/>
          <w:rtl/>
          <w:lang w:eastAsia="en-US" w:bidi="ar-TN"/>
        </w:rPr>
        <w:t>في</w:t>
      </w:r>
      <w:proofErr w:type="gramEnd"/>
      <w:r w:rsidRPr="00C75ED1">
        <w:rPr>
          <w:rFonts w:ascii="Calibri" w:eastAsia="Calibri" w:hAnsi="Calibri" w:cs="Arial" w:hint="cs"/>
          <w:rtl/>
          <w:lang w:eastAsia="en-US" w:bidi="ar-TN"/>
        </w:rPr>
        <w:t xml:space="preserve"> إطار الأمم المتحدة والوكالات المتخصصة ومنظمة العمل الدولية والمنظمات الإقليمية ودرس ترابطها مع النظام القانوني والقضائي الوطني.</w:t>
      </w:r>
    </w:p>
    <w:p w14:paraId="1980B8BC" w14:textId="77777777" w:rsidR="00C75ED1" w:rsidRPr="00C75ED1" w:rsidRDefault="00C75ED1" w:rsidP="00C75ED1">
      <w:pPr>
        <w:numPr>
          <w:ilvl w:val="0"/>
          <w:numId w:val="14"/>
        </w:numPr>
        <w:bidi/>
        <w:spacing w:before="100" w:beforeAutospacing="1" w:after="0"/>
        <w:ind w:left="1777"/>
        <w:contextualSpacing/>
        <w:jc w:val="both"/>
        <w:rPr>
          <w:rFonts w:ascii="Calibri" w:eastAsia="Calibri" w:hAnsi="Calibri" w:cs="Arial" w:hint="cs"/>
          <w:lang w:eastAsia="en-US" w:bidi="ar-TN"/>
        </w:rPr>
      </w:pPr>
      <w:r w:rsidRPr="00C75ED1">
        <w:rPr>
          <w:rFonts w:ascii="Calibri" w:eastAsia="Calibri" w:hAnsi="Calibri" w:cs="Arial" w:hint="cs"/>
          <w:rtl/>
          <w:lang w:eastAsia="en-US" w:bidi="ar-TN"/>
        </w:rPr>
        <w:t xml:space="preserve">في إطار المنظمات غير الحكومية بإبراز دور هذه المنظمات في إشاعة مبادئ حقوق الإنسان </w:t>
      </w:r>
      <w:proofErr w:type="gramStart"/>
      <w:r w:rsidRPr="00C75ED1">
        <w:rPr>
          <w:rFonts w:ascii="Calibri" w:eastAsia="Calibri" w:hAnsi="Calibri" w:cs="Arial" w:hint="cs"/>
          <w:rtl/>
          <w:lang w:eastAsia="en-US" w:bidi="ar-TN"/>
        </w:rPr>
        <w:t>وحمايتها</w:t>
      </w:r>
      <w:proofErr w:type="gramEnd"/>
      <w:r w:rsidRPr="00C75ED1">
        <w:rPr>
          <w:rFonts w:ascii="Calibri" w:eastAsia="Calibri" w:hAnsi="Calibri" w:cs="Arial" w:hint="cs"/>
          <w:rtl/>
          <w:lang w:eastAsia="en-US" w:bidi="ar-TN"/>
        </w:rPr>
        <w:t>.</w:t>
      </w:r>
    </w:p>
    <w:p w14:paraId="4DA2BF94" w14:textId="648C647B" w:rsidR="00957F0E" w:rsidRPr="00C75ED1" w:rsidRDefault="00C75ED1" w:rsidP="00C75ED1">
      <w:pPr>
        <w:bidi/>
        <w:spacing w:before="100" w:beforeAutospacing="1" w:after="0"/>
        <w:ind w:left="283"/>
        <w:jc w:val="both"/>
        <w:rPr>
          <w:rFonts w:ascii="Calibri" w:eastAsia="Calibri" w:hAnsi="Calibri" w:cs="Arial"/>
          <w:b/>
          <w:bCs/>
          <w:rtl/>
          <w:lang w:eastAsia="en-US" w:bidi="ar-TN"/>
        </w:rPr>
      </w:pPr>
      <w:r w:rsidRPr="00C75ED1">
        <w:rPr>
          <w:rFonts w:ascii="Calibri" w:eastAsia="Calibri" w:hAnsi="Calibri" w:cs="Arial" w:hint="cs"/>
          <w:b/>
          <w:bCs/>
          <w:rtl/>
          <w:lang w:eastAsia="en-US" w:bidi="ar-TN"/>
        </w:rPr>
        <w:t>تونس، في 26 جوان 1993.</w:t>
      </w:r>
    </w:p>
    <w:sectPr w:rsidR="00957F0E" w:rsidRPr="00C75ED1"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5818D9"/>
    <w:multiLevelType w:val="hybridMultilevel"/>
    <w:tmpl w:val="893417F2"/>
    <w:lvl w:ilvl="0" w:tplc="4BA6A17E">
      <w:start w:val="1"/>
      <w:numFmt w:val="decimal"/>
      <w:lvlText w:val="%1-"/>
      <w:lvlJc w:val="left"/>
      <w:pPr>
        <w:tabs>
          <w:tab w:val="num" w:pos="720"/>
        </w:tabs>
        <w:ind w:left="720" w:hanging="360"/>
      </w:pPr>
      <w:rPr>
        <w:rFonts w:hint="default"/>
      </w:rPr>
    </w:lvl>
    <w:lvl w:ilvl="1" w:tplc="D85E0BDE">
      <w:start w:val="1"/>
      <w:numFmt w:val="arabicAbjad"/>
      <w:lvlText w:val="%2-"/>
      <w:lvlJc w:val="left"/>
      <w:pPr>
        <w:tabs>
          <w:tab w:val="num" w:pos="1440"/>
        </w:tabs>
        <w:ind w:left="1440" w:hanging="360"/>
      </w:pPr>
      <w:rPr>
        <w:rFonts w:hint="default"/>
      </w:rPr>
    </w:lvl>
    <w:lvl w:ilvl="2" w:tplc="D85E0BDE">
      <w:start w:val="1"/>
      <w:numFmt w:val="arabicAbjad"/>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7">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420C38"/>
    <w:multiLevelType w:val="hybridMultilevel"/>
    <w:tmpl w:val="EAFE9FE8"/>
    <w:lvl w:ilvl="0" w:tplc="408EE8C2">
      <w:start w:val="1"/>
      <w:numFmt w:val="bullet"/>
      <w:lvlText w:val=""/>
      <w:lvlJc w:val="left"/>
      <w:pPr>
        <w:ind w:left="2497" w:hanging="360"/>
      </w:pPr>
      <w:rPr>
        <w:rFonts w:ascii="Symbol" w:hAnsi="Symbol"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F03A09"/>
    <w:multiLevelType w:val="hybridMultilevel"/>
    <w:tmpl w:val="3EE8D6CA"/>
    <w:lvl w:ilvl="0" w:tplc="94305E3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10"/>
  </w:num>
  <w:num w:numId="6">
    <w:abstractNumId w:val="13"/>
  </w:num>
  <w:num w:numId="7">
    <w:abstractNumId w:val="8"/>
  </w:num>
  <w:num w:numId="8">
    <w:abstractNumId w:val="5"/>
  </w:num>
  <w:num w:numId="9">
    <w:abstractNumId w:val="1"/>
  </w:num>
  <w:num w:numId="10">
    <w:abstractNumId w:val="11"/>
  </w:num>
  <w:num w:numId="11">
    <w:abstractNumId w:val="9"/>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B19EE"/>
    <w:rsid w:val="002B237F"/>
    <w:rsid w:val="003460A9"/>
    <w:rsid w:val="00354137"/>
    <w:rsid w:val="003A76D7"/>
    <w:rsid w:val="003B6CD4"/>
    <w:rsid w:val="00587D4E"/>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11B81"/>
    <w:rsid w:val="00B617F1"/>
    <w:rsid w:val="00C1635D"/>
    <w:rsid w:val="00C600DA"/>
    <w:rsid w:val="00C64B86"/>
    <w:rsid w:val="00C75ED1"/>
    <w:rsid w:val="00CC4ADF"/>
    <w:rsid w:val="00D07749"/>
    <w:rsid w:val="00D2697E"/>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2013-01-28T15:50:00Z</cp:lastPrinted>
  <dcterms:created xsi:type="dcterms:W3CDTF">2013-01-28T15:50:00Z</dcterms:created>
  <dcterms:modified xsi:type="dcterms:W3CDTF">2013-01-28T15:50:00Z</dcterms:modified>
</cp:coreProperties>
</file>