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A51" w:rsidRPr="00CA0A51" w:rsidRDefault="00CA0A51" w:rsidP="00CA0A51">
      <w:pPr>
        <w:bidi/>
        <w:spacing w:before="100" w:beforeAutospacing="1" w:after="0"/>
        <w:ind w:left="283"/>
        <w:rPr>
          <w:rFonts w:ascii="Arial" w:hAnsi="Arial" w:cs="Arial"/>
          <w:b/>
          <w:bCs/>
          <w:sz w:val="24"/>
          <w:szCs w:val="24"/>
          <w:rtl/>
        </w:rPr>
      </w:pPr>
      <w:r w:rsidRPr="00CA0A51">
        <w:rPr>
          <w:rFonts w:ascii="Arial" w:hAnsi="Arial" w:cs="Arial" w:hint="cs"/>
          <w:b/>
          <w:bCs/>
          <w:sz w:val="24"/>
          <w:szCs w:val="24"/>
          <w:rtl/>
        </w:rPr>
        <w:t>ق</w:t>
      </w:r>
      <w:r w:rsidRPr="00CA0A51">
        <w:rPr>
          <w:rFonts w:ascii="Arial" w:hAnsi="Arial" w:cs="Arial"/>
          <w:b/>
          <w:bCs/>
          <w:sz w:val="24"/>
          <w:szCs w:val="24"/>
          <w:rtl/>
        </w:rPr>
        <w:t xml:space="preserve">رار من وزير الداخلية مؤرخ </w:t>
      </w:r>
      <w:proofErr w:type="gramStart"/>
      <w:r w:rsidRPr="00CA0A51">
        <w:rPr>
          <w:rFonts w:ascii="Arial" w:hAnsi="Arial" w:cs="Arial"/>
          <w:b/>
          <w:bCs/>
          <w:sz w:val="24"/>
          <w:szCs w:val="24"/>
          <w:rtl/>
        </w:rPr>
        <w:t>في</w:t>
      </w:r>
      <w:proofErr w:type="gramEnd"/>
      <w:r w:rsidRPr="00CA0A51">
        <w:rPr>
          <w:rFonts w:ascii="Arial" w:hAnsi="Arial" w:cs="Arial"/>
          <w:b/>
          <w:bCs/>
          <w:sz w:val="24"/>
          <w:szCs w:val="24"/>
          <w:rtl/>
        </w:rPr>
        <w:t xml:space="preserve"> 21 مارس 2012 يتعلق بإحداث لجان إدارية متناصفة بوزارة الداخلية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 xml:space="preserve">إن </w:t>
      </w:r>
      <w:proofErr w:type="gramStart"/>
      <w:r w:rsidRPr="00CA0A51">
        <w:rPr>
          <w:rFonts w:ascii="Arial" w:hAnsi="Arial" w:cs="Arial"/>
          <w:rtl/>
        </w:rPr>
        <w:t>وزير</w:t>
      </w:r>
      <w:proofErr w:type="gramEnd"/>
      <w:r w:rsidRPr="00CA0A51">
        <w:rPr>
          <w:rFonts w:ascii="Arial" w:hAnsi="Arial" w:cs="Arial"/>
          <w:rtl/>
        </w:rPr>
        <w:t xml:space="preserve"> الداخلية،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بعد الاطلاع 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w:t>
      </w:r>
    </w:p>
    <w:p w:rsidR="00CA0A51" w:rsidRPr="00CA0A51" w:rsidRDefault="00CA0A51" w:rsidP="00CA0A51">
      <w:pPr>
        <w:bidi/>
        <w:spacing w:before="100" w:beforeAutospacing="1" w:after="0"/>
        <w:ind w:left="283"/>
        <w:rPr>
          <w:rFonts w:ascii="Arial" w:hAnsi="Arial" w:cs="Arial"/>
          <w:rtl/>
        </w:rPr>
      </w:pPr>
      <w:proofErr w:type="gramStart"/>
      <w:r w:rsidRPr="00CA0A51">
        <w:rPr>
          <w:rFonts w:ascii="Arial" w:hAnsi="Arial" w:cs="Arial"/>
          <w:rtl/>
        </w:rPr>
        <w:t>وعلى</w:t>
      </w:r>
      <w:proofErr w:type="gramEnd"/>
      <w:r w:rsidRPr="00CA0A51">
        <w:rPr>
          <w:rFonts w:ascii="Arial" w:hAnsi="Arial" w:cs="Arial"/>
          <w:rtl/>
        </w:rPr>
        <w:t xml:space="preserve"> الأمر عدد 1753 لسنة 1990 المؤرخ في 29 أكتوبر 1990 المتعلق بضبط كيفية تنظيم وتسيير اللجان الإدارية المتناصفة (وخاصة الفصل 6 منه</w:t>
      </w:r>
      <w:r>
        <w:rPr>
          <w:rFonts w:ascii="Arial" w:hAnsi="Arial" w:cs="Arial" w:hint="cs"/>
          <w:rtl/>
        </w:rPr>
        <w:t>)</w:t>
      </w:r>
      <w:bookmarkStart w:id="0" w:name="_GoBack"/>
      <w:bookmarkEnd w:id="0"/>
      <w:r w:rsidRPr="00CA0A51">
        <w:rPr>
          <w:rFonts w:ascii="Arial" w:hAnsi="Arial" w:cs="Arial"/>
          <w:rtl/>
        </w:rPr>
        <w:t>،</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834 لسنة 1998 المؤرخ في 13 أفريل 1998 المتعلق بضبط النظام الأساسي الخاص بالسلك الإداري المشترك للإدارات العمومية كما وقع تنقيحه بالأمر عدد 559 لسنة 2008 المؤرخ في 4 مارس 2008،</w:t>
      </w:r>
    </w:p>
    <w:p w:rsidR="00CA0A51" w:rsidRPr="00CA0A51" w:rsidRDefault="00CA0A51" w:rsidP="00CA0A51">
      <w:pPr>
        <w:bidi/>
        <w:spacing w:before="100" w:beforeAutospacing="1" w:after="0"/>
        <w:ind w:left="283"/>
        <w:rPr>
          <w:rFonts w:ascii="Arial" w:hAnsi="Arial" w:cs="Arial"/>
          <w:rtl/>
        </w:rPr>
      </w:pPr>
      <w:proofErr w:type="gramStart"/>
      <w:r w:rsidRPr="00CA0A51">
        <w:rPr>
          <w:rFonts w:ascii="Arial" w:hAnsi="Arial" w:cs="Arial"/>
          <w:rtl/>
        </w:rPr>
        <w:t>وعلى</w:t>
      </w:r>
      <w:proofErr w:type="gramEnd"/>
      <w:r w:rsidRPr="00CA0A51">
        <w:rPr>
          <w:rFonts w:ascii="Arial" w:hAnsi="Arial" w:cs="Arial"/>
          <w:rtl/>
        </w:rPr>
        <w:t xml:space="preserve"> الأمر عدد 2509 لسنة 1998 المؤرخ في 18 ديسمبر 1998 المتعلق بضبط النظام الأساسي الخاص بسلك عملة الدولة والجماعات المحلية والمؤسسات العمومية ذات الصبغة الإدارية،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12 لسنة 1999 المؤرخ في 4 جانفي 1999 المتعلق بضبط الأصناف التي تنتمي إليها مختلف رتب موظفي الدولة والجماعات العمومية المحلية والمؤسسات العمومية ذات الصبغة الإدارية المنقح والمتمم بالأمر عدد 2338 لسنة 2003 المؤرخ في 11 نوفمبر 2003،</w:t>
      </w:r>
    </w:p>
    <w:p w:rsidR="00CA0A51" w:rsidRPr="00CA0A51" w:rsidRDefault="00CA0A51" w:rsidP="00CA0A51">
      <w:pPr>
        <w:bidi/>
        <w:spacing w:before="100" w:beforeAutospacing="1" w:after="0"/>
        <w:ind w:left="283"/>
        <w:rPr>
          <w:rFonts w:ascii="Arial" w:hAnsi="Arial" w:cs="Arial"/>
          <w:rtl/>
        </w:rPr>
      </w:pPr>
      <w:proofErr w:type="gramStart"/>
      <w:r w:rsidRPr="00CA0A51">
        <w:rPr>
          <w:rFonts w:ascii="Arial" w:hAnsi="Arial" w:cs="Arial"/>
          <w:rtl/>
        </w:rPr>
        <w:t>وعلى</w:t>
      </w:r>
      <w:proofErr w:type="gramEnd"/>
      <w:r w:rsidRPr="00CA0A51">
        <w:rPr>
          <w:rFonts w:ascii="Arial" w:hAnsi="Arial" w:cs="Arial"/>
          <w:rtl/>
        </w:rPr>
        <w:t xml:space="preserve"> الأمر عدد 365 لسنة 1999 المؤرخ في 15 فيفري 1999 المتعلق بضبط النظام الأساسي الخاص بسلك محللي وتقنيي الإعلامية للإدارات العمومية،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675 لسنة 1999 المؤرخ في 29 مارس 1999 المتعلق بضبط النظام الأساسي الخاص بسلك متصرفي الوثائق والأرشيف المتمم بالأمر عدد 1036 لسنة 1999 المؤرخ في 17 ماي 1999،</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819 لسنة 1999 المؤرخ في 12 أفريل 1999 المتعلق بضبط النظام الأساسي الخاص بالسلك المشترك لمهندسي الإدارات العمومية وعلى جميع النصوص التي نقحته أو تممته وخاصة الأمر عدد 1748 لسنة 2001 المؤرخ في أول أوت 2001،</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821 لسنة 1999 المؤرخ في 12 أفريل 1999 المتعلق بضبط النظام الأساسي الخاص بالسلك التقني المشترك للإدارات العمومية المنقح والمتمم بالأمر عدد 2633 لسنة 2003 المؤرخ في 23 ديسمبر 2003،</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1380 لسنة 1999 المؤرخ في 21 جوان 1999 المتعلق بضبط النظام الأساسي الخاص لسلك معماري الإدارة،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1569 لسنة 1999 المؤرخ في 15 جويلية 1999 المتعلق بضبط النظام الأساسي الخاص بسلك المهندسين المعماريين للإدارة،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 xml:space="preserve">وعلى الأمر عدد 2359 </w:t>
      </w:r>
      <w:proofErr w:type="gramStart"/>
      <w:r w:rsidRPr="00CA0A51">
        <w:rPr>
          <w:rFonts w:ascii="Arial" w:hAnsi="Arial" w:cs="Arial"/>
          <w:rtl/>
        </w:rPr>
        <w:t>لسنة</w:t>
      </w:r>
      <w:proofErr w:type="gramEnd"/>
      <w:r w:rsidRPr="00CA0A51">
        <w:rPr>
          <w:rFonts w:ascii="Arial" w:hAnsi="Arial" w:cs="Arial"/>
          <w:rtl/>
        </w:rPr>
        <w:t xml:space="preserve"> 1999 المؤرخ في 27 أكتوبر 1999 المتعلق بضبط النظام الأساسي الخاص بأعوان الخدمة الاجتماعية للإدارات العمومية،</w:t>
      </w:r>
    </w:p>
    <w:p w:rsidR="00CA0A51" w:rsidRPr="00CA0A51" w:rsidRDefault="00CA0A51" w:rsidP="00CA0A51">
      <w:pPr>
        <w:bidi/>
        <w:spacing w:before="100" w:beforeAutospacing="1" w:after="0"/>
        <w:ind w:left="283"/>
        <w:rPr>
          <w:rFonts w:ascii="Arial" w:hAnsi="Arial" w:cs="Arial"/>
          <w:rtl/>
        </w:rPr>
      </w:pPr>
      <w:proofErr w:type="gramStart"/>
      <w:r w:rsidRPr="00CA0A51">
        <w:rPr>
          <w:rFonts w:ascii="Arial" w:hAnsi="Arial" w:cs="Arial"/>
          <w:rtl/>
        </w:rPr>
        <w:t>وعلى</w:t>
      </w:r>
      <w:proofErr w:type="gramEnd"/>
      <w:r w:rsidRPr="00CA0A51">
        <w:rPr>
          <w:rFonts w:ascii="Arial" w:hAnsi="Arial" w:cs="Arial"/>
          <w:rtl/>
        </w:rPr>
        <w:t xml:space="preserve"> الأمر عدد 2762 لسنة 1999 المؤرخ في 6 ديسمبر 1999 المتعلق بضبط النظام الأساسي الخاص بأعوان سلك المكتبات والتوثيق بالإدارات العمومية،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230 لسنة 2000 المؤرخ في 1 جانفي 2000 المتعلق بضبط القانون الأساسي الخاص بأعوان الإطارات المشتركة للمخبر،</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وعلى الأمر عدد 1688 لسنة 2000 المؤرخ في 17 جويلية 2000 المتعلق بضبط النظام الأساسي الخاص للإطار المشترك للفنيين السامين للصحة العمومية،</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lastRenderedPageBreak/>
        <w:t>وعلى الأمر عدد 2453 لسنة 2006 المؤرخ في 12 سبتمبر 2006 المتعلق بضبط القانون الأساسي الخاص للإطار المشترك للأطباء البياطرة</w:t>
      </w:r>
      <w:r w:rsidRPr="00CA0A51">
        <w:rPr>
          <w:rFonts w:ascii="Arial" w:hAnsi="Arial" w:cs="Arial"/>
        </w:rPr>
        <w:t>.</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قرر ما يلي</w:t>
      </w:r>
      <w:r w:rsidRPr="00CA0A51">
        <w:rPr>
          <w:rFonts w:ascii="Arial" w:hAnsi="Arial" w:cs="Arial"/>
        </w:rPr>
        <w:t xml:space="preserve"> :</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b/>
          <w:bCs/>
          <w:rtl/>
        </w:rPr>
        <w:t>الفصل الأول</w:t>
      </w:r>
      <w:r w:rsidRPr="00CA0A51">
        <w:rPr>
          <w:rFonts w:ascii="Arial" w:hAnsi="Arial" w:cs="Arial" w:hint="cs"/>
          <w:b/>
          <w:bCs/>
          <w:rtl/>
        </w:rPr>
        <w:t xml:space="preserve"> </w:t>
      </w:r>
      <w:r w:rsidRPr="00CA0A51">
        <w:rPr>
          <w:rFonts w:ascii="Arial" w:hAnsi="Arial" w:cs="Arial"/>
          <w:b/>
          <w:bCs/>
          <w:rtl/>
        </w:rPr>
        <w:t>–</w:t>
      </w:r>
      <w:r>
        <w:rPr>
          <w:rFonts w:ascii="Arial" w:hAnsi="Arial" w:cs="Arial" w:hint="cs"/>
          <w:rtl/>
        </w:rPr>
        <w:t xml:space="preserve"> </w:t>
      </w:r>
      <w:r w:rsidRPr="00CA0A51">
        <w:rPr>
          <w:rFonts w:ascii="Arial" w:hAnsi="Arial" w:cs="Arial"/>
          <w:rtl/>
        </w:rPr>
        <w:t xml:space="preserve">أحدث بوزارة الداخلية لجان إدارية متناصفة مؤهلة بالنسبة لأصناف موظفي وعملة وزارة الداخلية كما </w:t>
      </w:r>
      <w:proofErr w:type="gramStart"/>
      <w:r w:rsidRPr="00CA0A51">
        <w:rPr>
          <w:rFonts w:ascii="Arial" w:hAnsi="Arial" w:cs="Arial"/>
          <w:rtl/>
        </w:rPr>
        <w:t>يلي</w:t>
      </w:r>
      <w:r w:rsidRPr="00CA0A51">
        <w:rPr>
          <w:rFonts w:ascii="Arial" w:hAnsi="Arial" w:cs="Arial"/>
        </w:rPr>
        <w:t xml:space="preserve"> :</w:t>
      </w:r>
      <w:proofErr w:type="gramEnd"/>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الأولى:</w:t>
      </w:r>
      <w:r w:rsidRPr="00CA0A51">
        <w:rPr>
          <w:rFonts w:ascii="Arial" w:hAnsi="Arial" w:cs="Arial"/>
          <w:rtl/>
        </w:rPr>
        <w:t xml:space="preserve"> (مهندس عام، مهندس معماري عام، معماري عام، رئيس مخبر عام، محلل عام، متصرف عام للخدمة الاجتماعية، حافظ عام للمكتبات أو التوثيق</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اللجنة الثانية</w:t>
      </w:r>
      <w:r>
        <w:rPr>
          <w:rFonts w:ascii="Arial" w:hAnsi="Arial" w:cs="Arial" w:hint="cs"/>
          <w:rtl/>
        </w:rPr>
        <w:t xml:space="preserve">: </w:t>
      </w:r>
      <w:r w:rsidRPr="00CA0A51">
        <w:rPr>
          <w:rFonts w:ascii="Arial" w:hAnsi="Arial" w:cs="Arial"/>
          <w:rtl/>
        </w:rPr>
        <w:t>(مهندس رئيس، مهندس معماري رئيس، معماري رئيس، رئيس مخبر رئيس، طبيب بيطري صحي اختصاصي رئيس، طبيب بيطري صحي رئيس، طبيب بيطري صحي اختصاصي أول، طبيب بيطري صحي اختصاصي، محلل رئيس، متصرف رئيس للخدمة الاجتماعية، حافظ رئيس للمكتبات أو التوثيق</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الثالثة:</w:t>
      </w:r>
      <w:r w:rsidRPr="00CA0A51">
        <w:rPr>
          <w:rFonts w:ascii="Arial" w:hAnsi="Arial" w:cs="Arial"/>
          <w:rtl/>
        </w:rPr>
        <w:t xml:space="preserve"> (مهندس أول، مهندس معماري أول، معماري أول، رئيس مخبر، طبيب بيطري صحي أول، طبيب بيطري صحي، محلل مركزي، تقني رئيس، فني سامي رئيس للصحة العمومية، حافظ للمكتبات أو التوثيق، متصرف مستشار للخدمة الاجتماعية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الرابعة:</w:t>
      </w:r>
      <w:r w:rsidRPr="00CA0A51">
        <w:rPr>
          <w:rFonts w:ascii="Arial" w:hAnsi="Arial" w:cs="Arial"/>
          <w:rtl/>
        </w:rPr>
        <w:t xml:space="preserve"> (مهندس فرعي، مهندس معماري فرعي، معماري فرعي، محلل، رئيس أشغال فرعي للمخبر، مهندس أشغال، مهندس معماري، معماري، رئيس مخبر، تقني أول، فني سامي أول للصحة العمومية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الخامسة:</w:t>
      </w:r>
      <w:r w:rsidRPr="00CA0A51">
        <w:rPr>
          <w:rFonts w:ascii="Arial" w:hAnsi="Arial" w:cs="Arial"/>
          <w:rtl/>
        </w:rPr>
        <w:t xml:space="preserve"> (متصرف، مكتبي أو موثق، متصرف في الوثائق والأرشيف، متصرف للخدمة الاجتماعية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السادسة:</w:t>
      </w:r>
      <w:r w:rsidRPr="00CA0A51">
        <w:rPr>
          <w:rFonts w:ascii="Arial" w:hAnsi="Arial" w:cs="Arial"/>
          <w:rtl/>
        </w:rPr>
        <w:t xml:space="preserve"> (تقني، مهندس مساعد، رئيس أشغال، مساعد للمخبر، واضع برامج، فني سامي للصحة العمومية، مهندس مساعد للإحصاء والدراسات الاقتصادية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السابعة:</w:t>
      </w:r>
      <w:r w:rsidRPr="00CA0A51">
        <w:rPr>
          <w:rFonts w:ascii="Arial" w:hAnsi="Arial" w:cs="Arial"/>
          <w:rtl/>
        </w:rPr>
        <w:t xml:space="preserve"> (ملحق إدارة، مكتبي مساعد أو موثق مساعد، متصرف مساعد في الوثائق والأرشيف، مرشد اجتماعي أول</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 xml:space="preserve">اللجنة الثامنة : (كاتب تصرف، معاون موثق أو معاون مكتبي، كاتب </w:t>
      </w:r>
      <w:proofErr w:type="spellStart"/>
      <w:r w:rsidRPr="00CA0A51">
        <w:rPr>
          <w:rFonts w:ascii="Arial" w:hAnsi="Arial" w:cs="Arial"/>
          <w:rtl/>
        </w:rPr>
        <w:t>راقن</w:t>
      </w:r>
      <w:proofErr w:type="spellEnd"/>
      <w:r w:rsidRPr="00CA0A51">
        <w:rPr>
          <w:rFonts w:ascii="Arial" w:hAnsi="Arial" w:cs="Arial"/>
          <w:rtl/>
        </w:rPr>
        <w:t>، مرشد اجتماعي</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التاسعة:</w:t>
      </w:r>
      <w:r w:rsidRPr="00CA0A51">
        <w:rPr>
          <w:rFonts w:ascii="Arial" w:hAnsi="Arial" w:cs="Arial"/>
          <w:rtl/>
        </w:rPr>
        <w:t xml:space="preserve"> (مساعد تقني، تقني مخبر إعلامية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اللجنة</w:t>
      </w:r>
      <w:proofErr w:type="gramEnd"/>
      <w:r w:rsidRPr="00CA0A51">
        <w:rPr>
          <w:rFonts w:ascii="Arial" w:hAnsi="Arial" w:cs="Arial"/>
          <w:rtl/>
        </w:rPr>
        <w:t xml:space="preserve"> </w:t>
      </w:r>
      <w:r w:rsidRPr="00CA0A51">
        <w:rPr>
          <w:rFonts w:ascii="Arial" w:hAnsi="Arial" w:cs="Arial" w:hint="cs"/>
          <w:rtl/>
        </w:rPr>
        <w:t>العاشرة:</w:t>
      </w:r>
      <w:r w:rsidRPr="00CA0A51">
        <w:rPr>
          <w:rFonts w:ascii="Arial" w:hAnsi="Arial" w:cs="Arial"/>
          <w:rtl/>
        </w:rPr>
        <w:t xml:space="preserve"> (عون تقني</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 xml:space="preserve">اللجنة الحادية عشرة : (مستكتب إدارة، </w:t>
      </w:r>
      <w:proofErr w:type="spellStart"/>
      <w:r w:rsidRPr="00CA0A51">
        <w:rPr>
          <w:rFonts w:ascii="Arial" w:hAnsi="Arial" w:cs="Arial"/>
          <w:rtl/>
        </w:rPr>
        <w:t>راقن</w:t>
      </w:r>
      <w:proofErr w:type="spellEnd"/>
      <w:r w:rsidRPr="00CA0A51">
        <w:rPr>
          <w:rFonts w:ascii="Arial" w:hAnsi="Arial" w:cs="Arial"/>
          <w:rtl/>
        </w:rPr>
        <w:t>، مختزن مكتبات أو وثائق، منشطة اجتماعية</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 xml:space="preserve">اللجنة الثانية عشرة : (عون استقبال، </w:t>
      </w:r>
      <w:proofErr w:type="spellStart"/>
      <w:r w:rsidRPr="00CA0A51">
        <w:rPr>
          <w:rFonts w:ascii="Arial" w:hAnsi="Arial" w:cs="Arial"/>
          <w:rtl/>
        </w:rPr>
        <w:t>راقن</w:t>
      </w:r>
      <w:proofErr w:type="spellEnd"/>
      <w:r w:rsidRPr="00CA0A51">
        <w:rPr>
          <w:rFonts w:ascii="Arial" w:hAnsi="Arial" w:cs="Arial"/>
          <w:rtl/>
        </w:rPr>
        <w:t xml:space="preserve"> مساعد، عون استقبال مكتبات أو وثائق</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 xml:space="preserve">اللجنة </w:t>
      </w:r>
      <w:proofErr w:type="gramStart"/>
      <w:r w:rsidRPr="00CA0A51">
        <w:rPr>
          <w:rFonts w:ascii="Arial" w:hAnsi="Arial" w:cs="Arial"/>
          <w:rtl/>
        </w:rPr>
        <w:t>الثالثة</w:t>
      </w:r>
      <w:proofErr w:type="gramEnd"/>
      <w:r w:rsidRPr="00CA0A51">
        <w:rPr>
          <w:rFonts w:ascii="Arial" w:hAnsi="Arial" w:cs="Arial"/>
          <w:rtl/>
        </w:rPr>
        <w:t xml:space="preserve"> </w:t>
      </w:r>
      <w:r w:rsidRPr="00CA0A51">
        <w:rPr>
          <w:rFonts w:ascii="Arial" w:hAnsi="Arial" w:cs="Arial" w:hint="cs"/>
          <w:rtl/>
        </w:rPr>
        <w:t>عشرة:</w:t>
      </w:r>
      <w:r w:rsidRPr="00CA0A51">
        <w:rPr>
          <w:rFonts w:ascii="Arial" w:hAnsi="Arial" w:cs="Arial"/>
          <w:rtl/>
        </w:rPr>
        <w:t xml:space="preserve"> (الوحدة الأولى الأصناف 1 ـ 2 ـ 3</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rtl/>
        </w:rPr>
        <w:t xml:space="preserve">اللجنة </w:t>
      </w:r>
      <w:proofErr w:type="gramStart"/>
      <w:r w:rsidRPr="00CA0A51">
        <w:rPr>
          <w:rFonts w:ascii="Arial" w:hAnsi="Arial" w:cs="Arial"/>
          <w:rtl/>
        </w:rPr>
        <w:t>الرابعة</w:t>
      </w:r>
      <w:proofErr w:type="gramEnd"/>
      <w:r w:rsidRPr="00CA0A51">
        <w:rPr>
          <w:rFonts w:ascii="Arial" w:hAnsi="Arial" w:cs="Arial"/>
          <w:rtl/>
        </w:rPr>
        <w:t xml:space="preserve"> </w:t>
      </w:r>
      <w:r w:rsidRPr="00CA0A51">
        <w:rPr>
          <w:rFonts w:ascii="Arial" w:hAnsi="Arial" w:cs="Arial" w:hint="cs"/>
          <w:rtl/>
        </w:rPr>
        <w:t>عشرة:</w:t>
      </w:r>
      <w:r w:rsidRPr="00CA0A51">
        <w:rPr>
          <w:rFonts w:ascii="Arial" w:hAnsi="Arial" w:cs="Arial"/>
          <w:rtl/>
        </w:rPr>
        <w:t xml:space="preserve"> (الوحدة الثانية الأصناف 4 ـ 5 ـ 6 ـ 7</w:t>
      </w:r>
      <w:r>
        <w:rPr>
          <w:rFonts w:ascii="Arial" w:hAnsi="Arial" w:cs="Arial" w:hint="cs"/>
          <w:rtl/>
        </w:rPr>
        <w:t>).</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rtl/>
        </w:rPr>
        <w:t xml:space="preserve">اللجنة </w:t>
      </w:r>
      <w:proofErr w:type="gramStart"/>
      <w:r w:rsidRPr="00CA0A51">
        <w:rPr>
          <w:rFonts w:ascii="Arial" w:hAnsi="Arial" w:cs="Arial"/>
          <w:rtl/>
        </w:rPr>
        <w:t>الخامسة</w:t>
      </w:r>
      <w:proofErr w:type="gramEnd"/>
      <w:r w:rsidRPr="00CA0A51">
        <w:rPr>
          <w:rFonts w:ascii="Arial" w:hAnsi="Arial" w:cs="Arial"/>
          <w:rtl/>
        </w:rPr>
        <w:t xml:space="preserve"> </w:t>
      </w:r>
      <w:r w:rsidRPr="00CA0A51">
        <w:rPr>
          <w:rFonts w:ascii="Arial" w:hAnsi="Arial" w:cs="Arial" w:hint="cs"/>
          <w:rtl/>
        </w:rPr>
        <w:t>عشرة:</w:t>
      </w:r>
      <w:r w:rsidRPr="00CA0A51">
        <w:rPr>
          <w:rFonts w:ascii="Arial" w:hAnsi="Arial" w:cs="Arial"/>
          <w:rtl/>
        </w:rPr>
        <w:t xml:space="preserve"> (الوحدة الثالثة الأصناف 8 ـ 9 ـ 10</w:t>
      </w:r>
      <w:r>
        <w:rPr>
          <w:rFonts w:ascii="Arial" w:hAnsi="Arial" w:cs="Arial" w:hint="cs"/>
          <w:rt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b/>
          <w:bCs/>
          <w:rtl/>
        </w:rPr>
        <w:t>الفصل</w:t>
      </w:r>
      <w:r w:rsidRPr="00CA0A51">
        <w:rPr>
          <w:rFonts w:ascii="Arial" w:hAnsi="Arial" w:cs="Arial"/>
          <w:b/>
          <w:bCs/>
          <w:rtl/>
        </w:rPr>
        <w:t xml:space="preserve"> 2</w:t>
      </w:r>
      <w:r w:rsidRPr="00CA0A51">
        <w:rPr>
          <w:rFonts w:ascii="Arial" w:hAnsi="Arial" w:cs="Arial" w:hint="cs"/>
          <w:b/>
          <w:bCs/>
          <w:rtl/>
        </w:rPr>
        <w:t xml:space="preserve"> </w:t>
      </w:r>
      <w:r w:rsidRPr="00CA0A51">
        <w:rPr>
          <w:rFonts w:ascii="Arial" w:hAnsi="Arial" w:cs="Arial"/>
          <w:b/>
          <w:bCs/>
          <w:rtl/>
        </w:rPr>
        <w:t>–</w:t>
      </w:r>
      <w:r>
        <w:rPr>
          <w:rFonts w:ascii="Arial" w:hAnsi="Arial" w:cs="Arial" w:hint="cs"/>
          <w:rtl/>
        </w:rPr>
        <w:t xml:space="preserve"> </w:t>
      </w:r>
      <w:r w:rsidRPr="00CA0A51">
        <w:rPr>
          <w:rFonts w:ascii="Arial" w:hAnsi="Arial" w:cs="Arial"/>
          <w:rtl/>
        </w:rPr>
        <w:t>حدد عدد أعضاء كل لجنة من اللجان المنصوص عليها بالفصل الأول من هذا القرار باثنين رسميين واثنين نائبين يمثلون الإدارة يقع اختيارهم من بين الموظفين المترسمين في رتبة من الصنف الفرعي "أ2" على الأقل وتعيينهم بقرار من وزير الداخلية واثنين رسميين واثنين نائبين منتخبين يمثلون الأعوان</w:t>
      </w:r>
      <w:r w:rsidRPr="00CA0A51">
        <w:rPr>
          <w:rFonts w:ascii="Arial" w:hAnsi="Arial" w:cs="Aria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t>ويخفض</w:t>
      </w:r>
      <w:proofErr w:type="gramEnd"/>
      <w:r w:rsidRPr="00CA0A51">
        <w:rPr>
          <w:rFonts w:ascii="Arial" w:hAnsi="Arial" w:cs="Arial"/>
          <w:rtl/>
        </w:rPr>
        <w:t xml:space="preserve"> عدد ممثلي الأعوان إلى واحد رسمي وواحد نائب عندما يكون عدد الأعوان التابعين لنفس اللجنة أقل من عشرين</w:t>
      </w:r>
      <w:r w:rsidRPr="00CA0A51">
        <w:rPr>
          <w:rFonts w:ascii="Arial" w:hAnsi="Arial" w:cs="Arial"/>
        </w:rPr>
        <w:t>.</w:t>
      </w:r>
    </w:p>
    <w:p w:rsidR="00CA0A51" w:rsidRDefault="00CA0A51" w:rsidP="00CA0A51">
      <w:pPr>
        <w:bidi/>
        <w:spacing w:before="100" w:beforeAutospacing="1" w:after="0"/>
        <w:ind w:left="283"/>
        <w:rPr>
          <w:rFonts w:ascii="Arial" w:hAnsi="Arial" w:cs="Arial" w:hint="cs"/>
          <w:rtl/>
        </w:rPr>
      </w:pPr>
      <w:proofErr w:type="gramStart"/>
      <w:r w:rsidRPr="00CA0A51">
        <w:rPr>
          <w:rFonts w:ascii="Arial" w:hAnsi="Arial" w:cs="Arial"/>
          <w:rtl/>
        </w:rPr>
        <w:lastRenderedPageBreak/>
        <w:t>يترأس</w:t>
      </w:r>
      <w:proofErr w:type="gramEnd"/>
      <w:r w:rsidRPr="00CA0A51">
        <w:rPr>
          <w:rFonts w:ascii="Arial" w:hAnsi="Arial" w:cs="Arial"/>
          <w:rtl/>
        </w:rPr>
        <w:t xml:space="preserve"> هذه اللجنة الإدارية المتناصفة أحد ممثلي الإدارة على أن يكون على الأقل مكلفا بخطة رئيس مصلحة أو ما يعادلها ويقع تعيينه بمقتضى قرار من وزير الداخلية</w:t>
      </w:r>
      <w:r w:rsidRPr="00CA0A51">
        <w:rPr>
          <w:rFonts w:ascii="Arial" w:hAnsi="Arial" w:cs="Arial"/>
        </w:rPr>
        <w:t>.</w:t>
      </w:r>
    </w:p>
    <w:p w:rsidR="00CA0A51" w:rsidRDefault="00CA0A51" w:rsidP="00CA0A51">
      <w:pPr>
        <w:bidi/>
        <w:spacing w:before="100" w:beforeAutospacing="1" w:after="0"/>
        <w:ind w:left="283"/>
        <w:rPr>
          <w:rFonts w:ascii="Arial" w:hAnsi="Arial" w:cs="Arial" w:hint="cs"/>
          <w:rtl/>
        </w:rPr>
      </w:pPr>
      <w:r w:rsidRPr="00CA0A51">
        <w:rPr>
          <w:rFonts w:ascii="Arial" w:hAnsi="Arial" w:cs="Arial"/>
          <w:b/>
          <w:bCs/>
          <w:rtl/>
        </w:rPr>
        <w:t>الفصل</w:t>
      </w:r>
      <w:r w:rsidRPr="00CA0A51">
        <w:rPr>
          <w:rFonts w:ascii="Arial" w:hAnsi="Arial" w:cs="Arial"/>
          <w:b/>
          <w:bCs/>
          <w:rtl/>
        </w:rPr>
        <w:t xml:space="preserve"> 3</w:t>
      </w:r>
      <w:r w:rsidRPr="00CA0A51">
        <w:rPr>
          <w:rFonts w:ascii="Arial" w:hAnsi="Arial" w:cs="Arial" w:hint="cs"/>
          <w:b/>
          <w:bCs/>
          <w:rtl/>
        </w:rPr>
        <w:t xml:space="preserve"> </w:t>
      </w:r>
      <w:r w:rsidRPr="00CA0A51">
        <w:rPr>
          <w:rFonts w:ascii="Arial" w:hAnsi="Arial" w:cs="Arial"/>
          <w:b/>
          <w:bCs/>
          <w:rtl/>
        </w:rPr>
        <w:t>–</w:t>
      </w:r>
      <w:r>
        <w:rPr>
          <w:rFonts w:ascii="Arial" w:hAnsi="Arial" w:cs="Arial" w:hint="cs"/>
          <w:rtl/>
        </w:rPr>
        <w:t xml:space="preserve"> </w:t>
      </w:r>
      <w:proofErr w:type="gramStart"/>
      <w:r w:rsidRPr="00CA0A51">
        <w:rPr>
          <w:rFonts w:ascii="Arial" w:hAnsi="Arial" w:cs="Arial"/>
          <w:rtl/>
        </w:rPr>
        <w:t>ألغيت</w:t>
      </w:r>
      <w:proofErr w:type="gramEnd"/>
      <w:r w:rsidRPr="00CA0A51">
        <w:rPr>
          <w:rFonts w:ascii="Arial" w:hAnsi="Arial" w:cs="Arial"/>
          <w:rtl/>
        </w:rPr>
        <w:t xml:space="preserve"> جميع الأحكام السابقة المخالفة لهذا القرار وخاصة القرار المؤرخ في 10 ديسمبر 2008</w:t>
      </w:r>
      <w:r w:rsidRPr="00CA0A51">
        <w:rPr>
          <w:rFonts w:ascii="Arial" w:hAnsi="Arial" w:cs="Arial"/>
        </w:rPr>
        <w:t>.</w:t>
      </w:r>
    </w:p>
    <w:p w:rsidR="00CA0A51" w:rsidRPr="00CA0A51" w:rsidRDefault="00CA0A51" w:rsidP="00CA0A51">
      <w:pPr>
        <w:bidi/>
        <w:spacing w:before="100" w:beforeAutospacing="1" w:after="0"/>
        <w:ind w:left="283"/>
        <w:rPr>
          <w:rFonts w:ascii="Arial" w:hAnsi="Arial" w:cs="Arial"/>
          <w:rtl/>
        </w:rPr>
      </w:pPr>
      <w:r w:rsidRPr="00CA0A51">
        <w:rPr>
          <w:rFonts w:ascii="Arial" w:hAnsi="Arial" w:cs="Arial"/>
          <w:b/>
          <w:bCs/>
          <w:rtl/>
        </w:rPr>
        <w:t>الفصل</w:t>
      </w:r>
      <w:r w:rsidRPr="00CA0A51">
        <w:rPr>
          <w:rFonts w:ascii="Arial" w:hAnsi="Arial" w:cs="Arial"/>
          <w:b/>
          <w:bCs/>
          <w:rtl/>
        </w:rPr>
        <w:t xml:space="preserve"> 4</w:t>
      </w:r>
      <w:r w:rsidRPr="00CA0A51">
        <w:rPr>
          <w:rFonts w:ascii="Arial" w:hAnsi="Arial" w:cs="Arial" w:hint="cs"/>
          <w:b/>
          <w:bCs/>
          <w:rtl/>
        </w:rPr>
        <w:t xml:space="preserve"> </w:t>
      </w:r>
      <w:r w:rsidRPr="00CA0A51">
        <w:rPr>
          <w:rFonts w:ascii="Arial" w:hAnsi="Arial" w:cs="Arial"/>
          <w:b/>
          <w:bCs/>
          <w:rtl/>
        </w:rPr>
        <w:t>–</w:t>
      </w:r>
      <w:r>
        <w:rPr>
          <w:rFonts w:ascii="Arial" w:hAnsi="Arial" w:cs="Arial" w:hint="cs"/>
          <w:rtl/>
        </w:rPr>
        <w:t xml:space="preserve"> </w:t>
      </w:r>
      <w:r w:rsidRPr="00CA0A51">
        <w:rPr>
          <w:rFonts w:ascii="Arial" w:hAnsi="Arial" w:cs="Arial"/>
          <w:rtl/>
        </w:rPr>
        <w:t>ينشر هذا القرار بالرائد الرسمي للجمهورية التونسية</w:t>
      </w:r>
      <w:r w:rsidRPr="00CA0A51">
        <w:rPr>
          <w:rFonts w:ascii="Arial" w:hAnsi="Arial" w:cs="Arial"/>
        </w:rPr>
        <w:t>.</w:t>
      </w:r>
    </w:p>
    <w:p w:rsidR="002D3CA4" w:rsidRPr="00CA0A51" w:rsidRDefault="00CA0A51" w:rsidP="00CA0A51">
      <w:pPr>
        <w:bidi/>
        <w:spacing w:before="100" w:beforeAutospacing="1" w:after="0"/>
        <w:ind w:left="283"/>
        <w:rPr>
          <w:rFonts w:ascii="Arial" w:hAnsi="Arial" w:cs="Arial"/>
          <w:b/>
          <w:bCs/>
        </w:rPr>
      </w:pPr>
      <w:r w:rsidRPr="00CA0A51">
        <w:rPr>
          <w:rFonts w:ascii="Arial" w:hAnsi="Arial" w:cs="Arial"/>
          <w:b/>
          <w:bCs/>
          <w:rtl/>
        </w:rPr>
        <w:t xml:space="preserve">تونس </w:t>
      </w:r>
      <w:proofErr w:type="gramStart"/>
      <w:r w:rsidRPr="00CA0A51">
        <w:rPr>
          <w:rFonts w:ascii="Arial" w:hAnsi="Arial" w:cs="Arial"/>
          <w:b/>
          <w:bCs/>
          <w:rtl/>
        </w:rPr>
        <w:t>في</w:t>
      </w:r>
      <w:proofErr w:type="gramEnd"/>
      <w:r w:rsidRPr="00CA0A51">
        <w:rPr>
          <w:rFonts w:ascii="Arial" w:hAnsi="Arial" w:cs="Arial"/>
          <w:b/>
          <w:bCs/>
          <w:rtl/>
        </w:rPr>
        <w:t xml:space="preserve"> 21 مارس 2012</w:t>
      </w:r>
      <w:r w:rsidRPr="00CA0A51">
        <w:rPr>
          <w:rFonts w:ascii="Arial" w:hAnsi="Arial" w:cs="Arial"/>
          <w:b/>
          <w:bCs/>
        </w:rPr>
        <w:t>.</w:t>
      </w:r>
    </w:p>
    <w:sectPr w:rsidR="002D3CA4" w:rsidRPr="00CA0A51" w:rsidSect="00CA0A5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51"/>
    <w:rsid w:val="00005AF6"/>
    <w:rsid w:val="000067CB"/>
    <w:rsid w:val="00010D6C"/>
    <w:rsid w:val="0001110C"/>
    <w:rsid w:val="0001738B"/>
    <w:rsid w:val="00021352"/>
    <w:rsid w:val="000258C7"/>
    <w:rsid w:val="00036A3E"/>
    <w:rsid w:val="0004510C"/>
    <w:rsid w:val="000465FD"/>
    <w:rsid w:val="00052826"/>
    <w:rsid w:val="00053CD5"/>
    <w:rsid w:val="000553FF"/>
    <w:rsid w:val="00056662"/>
    <w:rsid w:val="00060E5A"/>
    <w:rsid w:val="00066998"/>
    <w:rsid w:val="00066FDC"/>
    <w:rsid w:val="00070A53"/>
    <w:rsid w:val="00077689"/>
    <w:rsid w:val="00082A7C"/>
    <w:rsid w:val="00085667"/>
    <w:rsid w:val="00091B8C"/>
    <w:rsid w:val="00093179"/>
    <w:rsid w:val="0009353E"/>
    <w:rsid w:val="000A15DB"/>
    <w:rsid w:val="000A2A06"/>
    <w:rsid w:val="000A7322"/>
    <w:rsid w:val="000B0283"/>
    <w:rsid w:val="000B0AE4"/>
    <w:rsid w:val="000B24B3"/>
    <w:rsid w:val="000B2766"/>
    <w:rsid w:val="000B2A93"/>
    <w:rsid w:val="000B5519"/>
    <w:rsid w:val="000B6480"/>
    <w:rsid w:val="000B6B92"/>
    <w:rsid w:val="000C1C71"/>
    <w:rsid w:val="000C304A"/>
    <w:rsid w:val="000C312F"/>
    <w:rsid w:val="000C7902"/>
    <w:rsid w:val="000D0997"/>
    <w:rsid w:val="000D0BA4"/>
    <w:rsid w:val="000D7A2F"/>
    <w:rsid w:val="000E3E18"/>
    <w:rsid w:val="000E5E82"/>
    <w:rsid w:val="000E6280"/>
    <w:rsid w:val="000E66D0"/>
    <w:rsid w:val="000F21F8"/>
    <w:rsid w:val="000F24BA"/>
    <w:rsid w:val="000F2756"/>
    <w:rsid w:val="000F4867"/>
    <w:rsid w:val="000F4D80"/>
    <w:rsid w:val="000F5486"/>
    <w:rsid w:val="00100AF0"/>
    <w:rsid w:val="00100D18"/>
    <w:rsid w:val="00100E42"/>
    <w:rsid w:val="00100FB5"/>
    <w:rsid w:val="00103ED3"/>
    <w:rsid w:val="001044C6"/>
    <w:rsid w:val="0010559F"/>
    <w:rsid w:val="001058CA"/>
    <w:rsid w:val="0010590E"/>
    <w:rsid w:val="001109BC"/>
    <w:rsid w:val="00111211"/>
    <w:rsid w:val="0011147C"/>
    <w:rsid w:val="00116057"/>
    <w:rsid w:val="001167AE"/>
    <w:rsid w:val="00117B10"/>
    <w:rsid w:val="00121BDA"/>
    <w:rsid w:val="00122773"/>
    <w:rsid w:val="001237A0"/>
    <w:rsid w:val="00124011"/>
    <w:rsid w:val="00126191"/>
    <w:rsid w:val="00135101"/>
    <w:rsid w:val="0013702A"/>
    <w:rsid w:val="00137FB1"/>
    <w:rsid w:val="0014622F"/>
    <w:rsid w:val="00150B74"/>
    <w:rsid w:val="001574F6"/>
    <w:rsid w:val="00160145"/>
    <w:rsid w:val="00162AFD"/>
    <w:rsid w:val="00163755"/>
    <w:rsid w:val="00164085"/>
    <w:rsid w:val="00167DCC"/>
    <w:rsid w:val="00171F88"/>
    <w:rsid w:val="00174779"/>
    <w:rsid w:val="0018348E"/>
    <w:rsid w:val="00184637"/>
    <w:rsid w:val="00185741"/>
    <w:rsid w:val="00196B3D"/>
    <w:rsid w:val="00197ECA"/>
    <w:rsid w:val="001A158A"/>
    <w:rsid w:val="001A2B09"/>
    <w:rsid w:val="001A2D51"/>
    <w:rsid w:val="001A59BD"/>
    <w:rsid w:val="001B0035"/>
    <w:rsid w:val="001B7CAE"/>
    <w:rsid w:val="001B7FA1"/>
    <w:rsid w:val="001C08A6"/>
    <w:rsid w:val="001C34B9"/>
    <w:rsid w:val="001C471C"/>
    <w:rsid w:val="001C6237"/>
    <w:rsid w:val="001C656E"/>
    <w:rsid w:val="001D24D0"/>
    <w:rsid w:val="001D4AA9"/>
    <w:rsid w:val="001E0AE6"/>
    <w:rsid w:val="001E2651"/>
    <w:rsid w:val="001E387B"/>
    <w:rsid w:val="001E5788"/>
    <w:rsid w:val="001E5D40"/>
    <w:rsid w:val="001F0DCD"/>
    <w:rsid w:val="001F39EF"/>
    <w:rsid w:val="001F4741"/>
    <w:rsid w:val="001F48BC"/>
    <w:rsid w:val="001F5BAA"/>
    <w:rsid w:val="001F6031"/>
    <w:rsid w:val="001F6DD1"/>
    <w:rsid w:val="00206A28"/>
    <w:rsid w:val="002222A7"/>
    <w:rsid w:val="0022513A"/>
    <w:rsid w:val="00231052"/>
    <w:rsid w:val="00231CAF"/>
    <w:rsid w:val="0023337D"/>
    <w:rsid w:val="002339E8"/>
    <w:rsid w:val="00235B03"/>
    <w:rsid w:val="00236FF0"/>
    <w:rsid w:val="00237B32"/>
    <w:rsid w:val="00242523"/>
    <w:rsid w:val="00243E74"/>
    <w:rsid w:val="002447C3"/>
    <w:rsid w:val="00251382"/>
    <w:rsid w:val="00253C88"/>
    <w:rsid w:val="002552A4"/>
    <w:rsid w:val="00262A3A"/>
    <w:rsid w:val="0026591B"/>
    <w:rsid w:val="002668B8"/>
    <w:rsid w:val="002735E8"/>
    <w:rsid w:val="00274C33"/>
    <w:rsid w:val="0027591B"/>
    <w:rsid w:val="00280CD9"/>
    <w:rsid w:val="00283CA5"/>
    <w:rsid w:val="002842D3"/>
    <w:rsid w:val="002847CB"/>
    <w:rsid w:val="00295421"/>
    <w:rsid w:val="00295886"/>
    <w:rsid w:val="002958CC"/>
    <w:rsid w:val="002A1EED"/>
    <w:rsid w:val="002A27E4"/>
    <w:rsid w:val="002A380F"/>
    <w:rsid w:val="002A3EBF"/>
    <w:rsid w:val="002A5AF4"/>
    <w:rsid w:val="002A6028"/>
    <w:rsid w:val="002A65EC"/>
    <w:rsid w:val="002B0E8E"/>
    <w:rsid w:val="002B193D"/>
    <w:rsid w:val="002B7D59"/>
    <w:rsid w:val="002C19F1"/>
    <w:rsid w:val="002C1F60"/>
    <w:rsid w:val="002C3F99"/>
    <w:rsid w:val="002C41ED"/>
    <w:rsid w:val="002C546D"/>
    <w:rsid w:val="002C64EA"/>
    <w:rsid w:val="002D2721"/>
    <w:rsid w:val="002D3CA4"/>
    <w:rsid w:val="002D44EB"/>
    <w:rsid w:val="002D7104"/>
    <w:rsid w:val="002E3D80"/>
    <w:rsid w:val="002E5975"/>
    <w:rsid w:val="002F3AB4"/>
    <w:rsid w:val="002F6A05"/>
    <w:rsid w:val="002F73C2"/>
    <w:rsid w:val="00302836"/>
    <w:rsid w:val="00304B1E"/>
    <w:rsid w:val="003055AE"/>
    <w:rsid w:val="0031289E"/>
    <w:rsid w:val="00317D31"/>
    <w:rsid w:val="00320041"/>
    <w:rsid w:val="003200D7"/>
    <w:rsid w:val="003201F7"/>
    <w:rsid w:val="00331AAB"/>
    <w:rsid w:val="00333139"/>
    <w:rsid w:val="00340637"/>
    <w:rsid w:val="0034184C"/>
    <w:rsid w:val="00346B76"/>
    <w:rsid w:val="00350721"/>
    <w:rsid w:val="00350E35"/>
    <w:rsid w:val="00351199"/>
    <w:rsid w:val="003622F6"/>
    <w:rsid w:val="0036266E"/>
    <w:rsid w:val="00363822"/>
    <w:rsid w:val="00365553"/>
    <w:rsid w:val="0037258A"/>
    <w:rsid w:val="003740DE"/>
    <w:rsid w:val="00374F42"/>
    <w:rsid w:val="0038571D"/>
    <w:rsid w:val="00386FC2"/>
    <w:rsid w:val="00387688"/>
    <w:rsid w:val="00390B1A"/>
    <w:rsid w:val="00392A2C"/>
    <w:rsid w:val="00392E04"/>
    <w:rsid w:val="00396E39"/>
    <w:rsid w:val="0039739F"/>
    <w:rsid w:val="003A0E8B"/>
    <w:rsid w:val="003A3ADA"/>
    <w:rsid w:val="003B1330"/>
    <w:rsid w:val="003B17FC"/>
    <w:rsid w:val="003C1365"/>
    <w:rsid w:val="003C6120"/>
    <w:rsid w:val="003D0301"/>
    <w:rsid w:val="003D1D15"/>
    <w:rsid w:val="003D2C7C"/>
    <w:rsid w:val="003D3575"/>
    <w:rsid w:val="003D6C79"/>
    <w:rsid w:val="003E53BA"/>
    <w:rsid w:val="003F2F82"/>
    <w:rsid w:val="003F4584"/>
    <w:rsid w:val="003F589B"/>
    <w:rsid w:val="004000B0"/>
    <w:rsid w:val="00400524"/>
    <w:rsid w:val="00402D26"/>
    <w:rsid w:val="004038A2"/>
    <w:rsid w:val="00407B49"/>
    <w:rsid w:val="00414EDF"/>
    <w:rsid w:val="00415AD4"/>
    <w:rsid w:val="00415F3B"/>
    <w:rsid w:val="00422F65"/>
    <w:rsid w:val="0042526C"/>
    <w:rsid w:val="00427AC0"/>
    <w:rsid w:val="004307A6"/>
    <w:rsid w:val="004426EE"/>
    <w:rsid w:val="00443532"/>
    <w:rsid w:val="00443F56"/>
    <w:rsid w:val="004478F6"/>
    <w:rsid w:val="00451A1A"/>
    <w:rsid w:val="00453500"/>
    <w:rsid w:val="00454EDD"/>
    <w:rsid w:val="00461074"/>
    <w:rsid w:val="00461215"/>
    <w:rsid w:val="00464539"/>
    <w:rsid w:val="00466C25"/>
    <w:rsid w:val="004729B9"/>
    <w:rsid w:val="00473C24"/>
    <w:rsid w:val="00474F77"/>
    <w:rsid w:val="0047636F"/>
    <w:rsid w:val="00487A06"/>
    <w:rsid w:val="00493C60"/>
    <w:rsid w:val="00493E4E"/>
    <w:rsid w:val="0049464D"/>
    <w:rsid w:val="004A1801"/>
    <w:rsid w:val="004A26FD"/>
    <w:rsid w:val="004A34C8"/>
    <w:rsid w:val="004A5E84"/>
    <w:rsid w:val="004B219C"/>
    <w:rsid w:val="004B5C9E"/>
    <w:rsid w:val="004B7964"/>
    <w:rsid w:val="004C27E9"/>
    <w:rsid w:val="004C2F17"/>
    <w:rsid w:val="004D31C3"/>
    <w:rsid w:val="004D3642"/>
    <w:rsid w:val="004D3C90"/>
    <w:rsid w:val="004D668F"/>
    <w:rsid w:val="004E03F4"/>
    <w:rsid w:val="004E24BC"/>
    <w:rsid w:val="004F30C1"/>
    <w:rsid w:val="004F5039"/>
    <w:rsid w:val="004F54BF"/>
    <w:rsid w:val="004F630F"/>
    <w:rsid w:val="00500221"/>
    <w:rsid w:val="00501B25"/>
    <w:rsid w:val="005059E4"/>
    <w:rsid w:val="00521C58"/>
    <w:rsid w:val="00522BF8"/>
    <w:rsid w:val="00523038"/>
    <w:rsid w:val="0052381F"/>
    <w:rsid w:val="005238F0"/>
    <w:rsid w:val="0052468F"/>
    <w:rsid w:val="00524E15"/>
    <w:rsid w:val="005251B6"/>
    <w:rsid w:val="00525BE4"/>
    <w:rsid w:val="005275AF"/>
    <w:rsid w:val="00530434"/>
    <w:rsid w:val="00531D22"/>
    <w:rsid w:val="00536A5E"/>
    <w:rsid w:val="00540C4C"/>
    <w:rsid w:val="005436AF"/>
    <w:rsid w:val="00543BD7"/>
    <w:rsid w:val="0054665E"/>
    <w:rsid w:val="00550A9A"/>
    <w:rsid w:val="00550C08"/>
    <w:rsid w:val="005510E9"/>
    <w:rsid w:val="005523EB"/>
    <w:rsid w:val="00552F14"/>
    <w:rsid w:val="00554F07"/>
    <w:rsid w:val="0056430A"/>
    <w:rsid w:val="005659FE"/>
    <w:rsid w:val="00566C13"/>
    <w:rsid w:val="0057074B"/>
    <w:rsid w:val="0057381D"/>
    <w:rsid w:val="005816BC"/>
    <w:rsid w:val="00583CC0"/>
    <w:rsid w:val="00584942"/>
    <w:rsid w:val="005867C5"/>
    <w:rsid w:val="00591CF1"/>
    <w:rsid w:val="0059472F"/>
    <w:rsid w:val="005974D3"/>
    <w:rsid w:val="005A5693"/>
    <w:rsid w:val="005A6418"/>
    <w:rsid w:val="005A6481"/>
    <w:rsid w:val="005B32B0"/>
    <w:rsid w:val="005B3373"/>
    <w:rsid w:val="005B3D16"/>
    <w:rsid w:val="005B5A52"/>
    <w:rsid w:val="005B6480"/>
    <w:rsid w:val="005B6BF2"/>
    <w:rsid w:val="005C1A8E"/>
    <w:rsid w:val="005C6D44"/>
    <w:rsid w:val="005D3C18"/>
    <w:rsid w:val="005D5435"/>
    <w:rsid w:val="005D5C67"/>
    <w:rsid w:val="005E138C"/>
    <w:rsid w:val="005E1A72"/>
    <w:rsid w:val="005E3339"/>
    <w:rsid w:val="005E4A15"/>
    <w:rsid w:val="005F0CB8"/>
    <w:rsid w:val="005F1012"/>
    <w:rsid w:val="006000C3"/>
    <w:rsid w:val="006029C2"/>
    <w:rsid w:val="006031F0"/>
    <w:rsid w:val="00610458"/>
    <w:rsid w:val="0061220E"/>
    <w:rsid w:val="00614063"/>
    <w:rsid w:val="0062064E"/>
    <w:rsid w:val="00624E35"/>
    <w:rsid w:val="00630974"/>
    <w:rsid w:val="00637572"/>
    <w:rsid w:val="00640B51"/>
    <w:rsid w:val="00640E06"/>
    <w:rsid w:val="006443DB"/>
    <w:rsid w:val="00654ADE"/>
    <w:rsid w:val="006558DA"/>
    <w:rsid w:val="006562BA"/>
    <w:rsid w:val="0066085B"/>
    <w:rsid w:val="006613D1"/>
    <w:rsid w:val="00664911"/>
    <w:rsid w:val="00670D73"/>
    <w:rsid w:val="0067160B"/>
    <w:rsid w:val="00673900"/>
    <w:rsid w:val="00673C17"/>
    <w:rsid w:val="00675C8A"/>
    <w:rsid w:val="0068031C"/>
    <w:rsid w:val="00684F95"/>
    <w:rsid w:val="00690188"/>
    <w:rsid w:val="00690777"/>
    <w:rsid w:val="006A0FF4"/>
    <w:rsid w:val="006A2DAB"/>
    <w:rsid w:val="006A61AE"/>
    <w:rsid w:val="006A66BB"/>
    <w:rsid w:val="006A73D1"/>
    <w:rsid w:val="006A7AFD"/>
    <w:rsid w:val="006B0A8E"/>
    <w:rsid w:val="006C0D5E"/>
    <w:rsid w:val="006C0E26"/>
    <w:rsid w:val="006C51D0"/>
    <w:rsid w:val="006C54CD"/>
    <w:rsid w:val="006C77EA"/>
    <w:rsid w:val="006D4BF3"/>
    <w:rsid w:val="006D5E7C"/>
    <w:rsid w:val="006D69EB"/>
    <w:rsid w:val="006D6CBC"/>
    <w:rsid w:val="006D7C3F"/>
    <w:rsid w:val="006E0618"/>
    <w:rsid w:val="006E3972"/>
    <w:rsid w:val="006F24D4"/>
    <w:rsid w:val="006F31B2"/>
    <w:rsid w:val="007015A2"/>
    <w:rsid w:val="00702EA7"/>
    <w:rsid w:val="00704C4D"/>
    <w:rsid w:val="00711250"/>
    <w:rsid w:val="00711769"/>
    <w:rsid w:val="00715D83"/>
    <w:rsid w:val="007235C0"/>
    <w:rsid w:val="00726474"/>
    <w:rsid w:val="00727361"/>
    <w:rsid w:val="00727B48"/>
    <w:rsid w:val="00733614"/>
    <w:rsid w:val="00736083"/>
    <w:rsid w:val="00740F0A"/>
    <w:rsid w:val="00745B78"/>
    <w:rsid w:val="00745EE0"/>
    <w:rsid w:val="00746244"/>
    <w:rsid w:val="00746C17"/>
    <w:rsid w:val="00752EE6"/>
    <w:rsid w:val="00756BCE"/>
    <w:rsid w:val="007575D7"/>
    <w:rsid w:val="00757984"/>
    <w:rsid w:val="00757AFC"/>
    <w:rsid w:val="00763681"/>
    <w:rsid w:val="007640AF"/>
    <w:rsid w:val="00771928"/>
    <w:rsid w:val="00773A62"/>
    <w:rsid w:val="007751AA"/>
    <w:rsid w:val="00777E88"/>
    <w:rsid w:val="00781A92"/>
    <w:rsid w:val="00782B4F"/>
    <w:rsid w:val="007848A1"/>
    <w:rsid w:val="0079302C"/>
    <w:rsid w:val="0079355D"/>
    <w:rsid w:val="00796E8C"/>
    <w:rsid w:val="007A1041"/>
    <w:rsid w:val="007B49FB"/>
    <w:rsid w:val="007B5F56"/>
    <w:rsid w:val="007C06EB"/>
    <w:rsid w:val="007C1A42"/>
    <w:rsid w:val="007D0845"/>
    <w:rsid w:val="007D102D"/>
    <w:rsid w:val="007D2A19"/>
    <w:rsid w:val="007D3BEF"/>
    <w:rsid w:val="007D4003"/>
    <w:rsid w:val="007E30C2"/>
    <w:rsid w:val="007E40D4"/>
    <w:rsid w:val="007E593C"/>
    <w:rsid w:val="007E6DC3"/>
    <w:rsid w:val="007E78B1"/>
    <w:rsid w:val="007F0A62"/>
    <w:rsid w:val="007F4D8E"/>
    <w:rsid w:val="007F64CF"/>
    <w:rsid w:val="007F6E5C"/>
    <w:rsid w:val="008005FE"/>
    <w:rsid w:val="00800964"/>
    <w:rsid w:val="00804FEC"/>
    <w:rsid w:val="00805F1D"/>
    <w:rsid w:val="0080613F"/>
    <w:rsid w:val="00806DF4"/>
    <w:rsid w:val="008073FF"/>
    <w:rsid w:val="00807BD3"/>
    <w:rsid w:val="0081111E"/>
    <w:rsid w:val="00817313"/>
    <w:rsid w:val="00817888"/>
    <w:rsid w:val="00817A94"/>
    <w:rsid w:val="00817BA1"/>
    <w:rsid w:val="00822C77"/>
    <w:rsid w:val="00826075"/>
    <w:rsid w:val="00826AF1"/>
    <w:rsid w:val="00831DD7"/>
    <w:rsid w:val="008329C6"/>
    <w:rsid w:val="00835EC4"/>
    <w:rsid w:val="00843114"/>
    <w:rsid w:val="0084571B"/>
    <w:rsid w:val="00845B37"/>
    <w:rsid w:val="00846272"/>
    <w:rsid w:val="00851D73"/>
    <w:rsid w:val="00852EE7"/>
    <w:rsid w:val="00856244"/>
    <w:rsid w:val="008615C2"/>
    <w:rsid w:val="0086231E"/>
    <w:rsid w:val="008634A9"/>
    <w:rsid w:val="00865EAF"/>
    <w:rsid w:val="0086681A"/>
    <w:rsid w:val="008672A2"/>
    <w:rsid w:val="00867957"/>
    <w:rsid w:val="008706D5"/>
    <w:rsid w:val="00873ABF"/>
    <w:rsid w:val="008757D1"/>
    <w:rsid w:val="00875ED2"/>
    <w:rsid w:val="00877771"/>
    <w:rsid w:val="00880F63"/>
    <w:rsid w:val="008828CD"/>
    <w:rsid w:val="0088656F"/>
    <w:rsid w:val="0089124A"/>
    <w:rsid w:val="008912B1"/>
    <w:rsid w:val="00893874"/>
    <w:rsid w:val="0089394B"/>
    <w:rsid w:val="00895359"/>
    <w:rsid w:val="00895468"/>
    <w:rsid w:val="00896075"/>
    <w:rsid w:val="00897451"/>
    <w:rsid w:val="00897467"/>
    <w:rsid w:val="008A0879"/>
    <w:rsid w:val="008A197B"/>
    <w:rsid w:val="008A517F"/>
    <w:rsid w:val="008A620D"/>
    <w:rsid w:val="008A79C5"/>
    <w:rsid w:val="008A79E3"/>
    <w:rsid w:val="008B30A4"/>
    <w:rsid w:val="008B3A2F"/>
    <w:rsid w:val="008B3D78"/>
    <w:rsid w:val="008B6904"/>
    <w:rsid w:val="008C35D7"/>
    <w:rsid w:val="008C69D2"/>
    <w:rsid w:val="008C6B71"/>
    <w:rsid w:val="008C765C"/>
    <w:rsid w:val="008C7DD3"/>
    <w:rsid w:val="008D78B5"/>
    <w:rsid w:val="008E08F7"/>
    <w:rsid w:val="008E56BB"/>
    <w:rsid w:val="008E607D"/>
    <w:rsid w:val="008E73BD"/>
    <w:rsid w:val="008E7704"/>
    <w:rsid w:val="008F1336"/>
    <w:rsid w:val="008F1B96"/>
    <w:rsid w:val="008F6521"/>
    <w:rsid w:val="008F683F"/>
    <w:rsid w:val="008F76DE"/>
    <w:rsid w:val="00902365"/>
    <w:rsid w:val="009031EE"/>
    <w:rsid w:val="00905C96"/>
    <w:rsid w:val="00905F95"/>
    <w:rsid w:val="0090607B"/>
    <w:rsid w:val="00906B5B"/>
    <w:rsid w:val="00910977"/>
    <w:rsid w:val="00913567"/>
    <w:rsid w:val="00914205"/>
    <w:rsid w:val="00915732"/>
    <w:rsid w:val="0091639F"/>
    <w:rsid w:val="009253F1"/>
    <w:rsid w:val="00932682"/>
    <w:rsid w:val="00933485"/>
    <w:rsid w:val="009375A8"/>
    <w:rsid w:val="00940252"/>
    <w:rsid w:val="009415A0"/>
    <w:rsid w:val="0094567E"/>
    <w:rsid w:val="009461BD"/>
    <w:rsid w:val="009469C6"/>
    <w:rsid w:val="009507B2"/>
    <w:rsid w:val="009539A3"/>
    <w:rsid w:val="00954883"/>
    <w:rsid w:val="00960417"/>
    <w:rsid w:val="009606DA"/>
    <w:rsid w:val="00962B6C"/>
    <w:rsid w:val="00963A2B"/>
    <w:rsid w:val="00966003"/>
    <w:rsid w:val="00971876"/>
    <w:rsid w:val="00971F75"/>
    <w:rsid w:val="0097254E"/>
    <w:rsid w:val="0097472A"/>
    <w:rsid w:val="00974D53"/>
    <w:rsid w:val="0098201D"/>
    <w:rsid w:val="00984CB7"/>
    <w:rsid w:val="00985721"/>
    <w:rsid w:val="009858B0"/>
    <w:rsid w:val="0099268E"/>
    <w:rsid w:val="00993BFD"/>
    <w:rsid w:val="009A0AAD"/>
    <w:rsid w:val="009A20D9"/>
    <w:rsid w:val="009A2D9B"/>
    <w:rsid w:val="009A6139"/>
    <w:rsid w:val="009B0192"/>
    <w:rsid w:val="009B212A"/>
    <w:rsid w:val="009B2F90"/>
    <w:rsid w:val="009B4D0A"/>
    <w:rsid w:val="009B6710"/>
    <w:rsid w:val="009B6B75"/>
    <w:rsid w:val="009C7A13"/>
    <w:rsid w:val="009D3108"/>
    <w:rsid w:val="009D5D17"/>
    <w:rsid w:val="009D77D6"/>
    <w:rsid w:val="009E2D11"/>
    <w:rsid w:val="009E322E"/>
    <w:rsid w:val="009E45A8"/>
    <w:rsid w:val="009E4745"/>
    <w:rsid w:val="009E4A1C"/>
    <w:rsid w:val="009F1EBD"/>
    <w:rsid w:val="009F2457"/>
    <w:rsid w:val="009F3014"/>
    <w:rsid w:val="009F66BF"/>
    <w:rsid w:val="009F6E6E"/>
    <w:rsid w:val="00A001C8"/>
    <w:rsid w:val="00A003A7"/>
    <w:rsid w:val="00A03768"/>
    <w:rsid w:val="00A04806"/>
    <w:rsid w:val="00A06C3D"/>
    <w:rsid w:val="00A079D7"/>
    <w:rsid w:val="00A10406"/>
    <w:rsid w:val="00A16AAA"/>
    <w:rsid w:val="00A170A2"/>
    <w:rsid w:val="00A214AC"/>
    <w:rsid w:val="00A2657B"/>
    <w:rsid w:val="00A27227"/>
    <w:rsid w:val="00A27C77"/>
    <w:rsid w:val="00A348EC"/>
    <w:rsid w:val="00A37CB2"/>
    <w:rsid w:val="00A37DBB"/>
    <w:rsid w:val="00A4211A"/>
    <w:rsid w:val="00A4288D"/>
    <w:rsid w:val="00A44ACA"/>
    <w:rsid w:val="00A44CEF"/>
    <w:rsid w:val="00A54333"/>
    <w:rsid w:val="00A6700F"/>
    <w:rsid w:val="00A7129E"/>
    <w:rsid w:val="00A77252"/>
    <w:rsid w:val="00A772D0"/>
    <w:rsid w:val="00A87CDF"/>
    <w:rsid w:val="00A9219A"/>
    <w:rsid w:val="00A95641"/>
    <w:rsid w:val="00A963A0"/>
    <w:rsid w:val="00A96E10"/>
    <w:rsid w:val="00AA54BD"/>
    <w:rsid w:val="00AB3C5B"/>
    <w:rsid w:val="00AC229D"/>
    <w:rsid w:val="00AC40C3"/>
    <w:rsid w:val="00AC41EA"/>
    <w:rsid w:val="00AC622F"/>
    <w:rsid w:val="00AC7CCE"/>
    <w:rsid w:val="00AC7F61"/>
    <w:rsid w:val="00AD0B84"/>
    <w:rsid w:val="00AD4E89"/>
    <w:rsid w:val="00AD550F"/>
    <w:rsid w:val="00AD701D"/>
    <w:rsid w:val="00AE092E"/>
    <w:rsid w:val="00AE0F5A"/>
    <w:rsid w:val="00AE1495"/>
    <w:rsid w:val="00AE6256"/>
    <w:rsid w:val="00AE7772"/>
    <w:rsid w:val="00AF4997"/>
    <w:rsid w:val="00AF68FE"/>
    <w:rsid w:val="00AF766B"/>
    <w:rsid w:val="00B0021D"/>
    <w:rsid w:val="00B04398"/>
    <w:rsid w:val="00B04CD9"/>
    <w:rsid w:val="00B052CB"/>
    <w:rsid w:val="00B067F0"/>
    <w:rsid w:val="00B06F66"/>
    <w:rsid w:val="00B12F6B"/>
    <w:rsid w:val="00B20AB5"/>
    <w:rsid w:val="00B26E03"/>
    <w:rsid w:val="00B30B56"/>
    <w:rsid w:val="00B33EDD"/>
    <w:rsid w:val="00B3421B"/>
    <w:rsid w:val="00B3556D"/>
    <w:rsid w:val="00B35EFE"/>
    <w:rsid w:val="00B372EA"/>
    <w:rsid w:val="00B37E94"/>
    <w:rsid w:val="00B40B8E"/>
    <w:rsid w:val="00B432E3"/>
    <w:rsid w:val="00B4727D"/>
    <w:rsid w:val="00B53C6A"/>
    <w:rsid w:val="00B54251"/>
    <w:rsid w:val="00B56B80"/>
    <w:rsid w:val="00B576C1"/>
    <w:rsid w:val="00B63E06"/>
    <w:rsid w:val="00B63FD2"/>
    <w:rsid w:val="00B65D2B"/>
    <w:rsid w:val="00B7040F"/>
    <w:rsid w:val="00B77D39"/>
    <w:rsid w:val="00B8384B"/>
    <w:rsid w:val="00B84A8F"/>
    <w:rsid w:val="00B8516E"/>
    <w:rsid w:val="00B85CC3"/>
    <w:rsid w:val="00B85D2A"/>
    <w:rsid w:val="00B8645B"/>
    <w:rsid w:val="00B904A6"/>
    <w:rsid w:val="00B90EEA"/>
    <w:rsid w:val="00B934A3"/>
    <w:rsid w:val="00B96320"/>
    <w:rsid w:val="00B96C4B"/>
    <w:rsid w:val="00BA0CCF"/>
    <w:rsid w:val="00BA17A1"/>
    <w:rsid w:val="00BA7826"/>
    <w:rsid w:val="00BA79D5"/>
    <w:rsid w:val="00BB251E"/>
    <w:rsid w:val="00BB2C0B"/>
    <w:rsid w:val="00BB4010"/>
    <w:rsid w:val="00BB429A"/>
    <w:rsid w:val="00BB5532"/>
    <w:rsid w:val="00BB5E82"/>
    <w:rsid w:val="00BB5F3D"/>
    <w:rsid w:val="00BB7338"/>
    <w:rsid w:val="00BB7B49"/>
    <w:rsid w:val="00BC19A0"/>
    <w:rsid w:val="00BC315C"/>
    <w:rsid w:val="00BC6414"/>
    <w:rsid w:val="00BD5853"/>
    <w:rsid w:val="00BD7C7C"/>
    <w:rsid w:val="00BE112D"/>
    <w:rsid w:val="00BE2360"/>
    <w:rsid w:val="00BE4932"/>
    <w:rsid w:val="00BE53FA"/>
    <w:rsid w:val="00BE5873"/>
    <w:rsid w:val="00BE5C83"/>
    <w:rsid w:val="00BF07BD"/>
    <w:rsid w:val="00BF210E"/>
    <w:rsid w:val="00BF2A8D"/>
    <w:rsid w:val="00BF4F62"/>
    <w:rsid w:val="00C01CB4"/>
    <w:rsid w:val="00C023DE"/>
    <w:rsid w:val="00C06565"/>
    <w:rsid w:val="00C06D6E"/>
    <w:rsid w:val="00C22E4F"/>
    <w:rsid w:val="00C3756D"/>
    <w:rsid w:val="00C4547C"/>
    <w:rsid w:val="00C545A2"/>
    <w:rsid w:val="00C5639E"/>
    <w:rsid w:val="00C62A7D"/>
    <w:rsid w:val="00C66CEA"/>
    <w:rsid w:val="00C82CAF"/>
    <w:rsid w:val="00C8345E"/>
    <w:rsid w:val="00C84033"/>
    <w:rsid w:val="00C904F7"/>
    <w:rsid w:val="00C91F44"/>
    <w:rsid w:val="00CA0A51"/>
    <w:rsid w:val="00CB1BD6"/>
    <w:rsid w:val="00CB1FEB"/>
    <w:rsid w:val="00CB2C04"/>
    <w:rsid w:val="00CB513A"/>
    <w:rsid w:val="00CB7B47"/>
    <w:rsid w:val="00CC0E80"/>
    <w:rsid w:val="00CC25CE"/>
    <w:rsid w:val="00CD1756"/>
    <w:rsid w:val="00CE162C"/>
    <w:rsid w:val="00CE3E0D"/>
    <w:rsid w:val="00CE3F4C"/>
    <w:rsid w:val="00CE49BA"/>
    <w:rsid w:val="00CE6726"/>
    <w:rsid w:val="00CE6C3F"/>
    <w:rsid w:val="00CE7B47"/>
    <w:rsid w:val="00CF5E30"/>
    <w:rsid w:val="00D001C2"/>
    <w:rsid w:val="00D01711"/>
    <w:rsid w:val="00D03494"/>
    <w:rsid w:val="00D05AED"/>
    <w:rsid w:val="00D10239"/>
    <w:rsid w:val="00D17079"/>
    <w:rsid w:val="00D176DE"/>
    <w:rsid w:val="00D200C1"/>
    <w:rsid w:val="00D220E1"/>
    <w:rsid w:val="00D23166"/>
    <w:rsid w:val="00D2592A"/>
    <w:rsid w:val="00D311B3"/>
    <w:rsid w:val="00D33EFC"/>
    <w:rsid w:val="00D34DDD"/>
    <w:rsid w:val="00D41473"/>
    <w:rsid w:val="00D43D72"/>
    <w:rsid w:val="00D44855"/>
    <w:rsid w:val="00D45713"/>
    <w:rsid w:val="00D50401"/>
    <w:rsid w:val="00D53691"/>
    <w:rsid w:val="00D53A04"/>
    <w:rsid w:val="00D548E4"/>
    <w:rsid w:val="00D573E9"/>
    <w:rsid w:val="00D57F82"/>
    <w:rsid w:val="00D671FF"/>
    <w:rsid w:val="00D71592"/>
    <w:rsid w:val="00D731DA"/>
    <w:rsid w:val="00D76737"/>
    <w:rsid w:val="00D844A7"/>
    <w:rsid w:val="00D84861"/>
    <w:rsid w:val="00D86FEF"/>
    <w:rsid w:val="00D87154"/>
    <w:rsid w:val="00D967DD"/>
    <w:rsid w:val="00D96B07"/>
    <w:rsid w:val="00D9753D"/>
    <w:rsid w:val="00D97F04"/>
    <w:rsid w:val="00DA003B"/>
    <w:rsid w:val="00DA2573"/>
    <w:rsid w:val="00DA2FA7"/>
    <w:rsid w:val="00DA55C7"/>
    <w:rsid w:val="00DB0C7B"/>
    <w:rsid w:val="00DB4F26"/>
    <w:rsid w:val="00DB5728"/>
    <w:rsid w:val="00DC08DF"/>
    <w:rsid w:val="00DC363B"/>
    <w:rsid w:val="00DC7CC6"/>
    <w:rsid w:val="00DD5A11"/>
    <w:rsid w:val="00DE23FD"/>
    <w:rsid w:val="00DE550E"/>
    <w:rsid w:val="00DF216D"/>
    <w:rsid w:val="00DF4E80"/>
    <w:rsid w:val="00DF7B7C"/>
    <w:rsid w:val="00DF7C27"/>
    <w:rsid w:val="00E03D0B"/>
    <w:rsid w:val="00E10F0A"/>
    <w:rsid w:val="00E116EF"/>
    <w:rsid w:val="00E14168"/>
    <w:rsid w:val="00E154AF"/>
    <w:rsid w:val="00E40F01"/>
    <w:rsid w:val="00E41070"/>
    <w:rsid w:val="00E44140"/>
    <w:rsid w:val="00E441E9"/>
    <w:rsid w:val="00E4603B"/>
    <w:rsid w:val="00E46EB9"/>
    <w:rsid w:val="00E50A59"/>
    <w:rsid w:val="00E55837"/>
    <w:rsid w:val="00E5710A"/>
    <w:rsid w:val="00E579C9"/>
    <w:rsid w:val="00E6314B"/>
    <w:rsid w:val="00E651FB"/>
    <w:rsid w:val="00E67782"/>
    <w:rsid w:val="00E703DE"/>
    <w:rsid w:val="00E71197"/>
    <w:rsid w:val="00E732DA"/>
    <w:rsid w:val="00E83E65"/>
    <w:rsid w:val="00E87A89"/>
    <w:rsid w:val="00E90E7B"/>
    <w:rsid w:val="00E91364"/>
    <w:rsid w:val="00E92D6B"/>
    <w:rsid w:val="00E937E8"/>
    <w:rsid w:val="00E9382C"/>
    <w:rsid w:val="00E96315"/>
    <w:rsid w:val="00E9665F"/>
    <w:rsid w:val="00E97011"/>
    <w:rsid w:val="00EA13A0"/>
    <w:rsid w:val="00EA2EA6"/>
    <w:rsid w:val="00EA7012"/>
    <w:rsid w:val="00EB1109"/>
    <w:rsid w:val="00EB1D36"/>
    <w:rsid w:val="00EB1D58"/>
    <w:rsid w:val="00EB6AFE"/>
    <w:rsid w:val="00EB6EBF"/>
    <w:rsid w:val="00EC172A"/>
    <w:rsid w:val="00EC2E8B"/>
    <w:rsid w:val="00EC498D"/>
    <w:rsid w:val="00ED0DE2"/>
    <w:rsid w:val="00ED3A31"/>
    <w:rsid w:val="00ED4720"/>
    <w:rsid w:val="00EE24D1"/>
    <w:rsid w:val="00EE6FB3"/>
    <w:rsid w:val="00EE7337"/>
    <w:rsid w:val="00EF1215"/>
    <w:rsid w:val="00EF21DC"/>
    <w:rsid w:val="00EF6F69"/>
    <w:rsid w:val="00EF7213"/>
    <w:rsid w:val="00F0007C"/>
    <w:rsid w:val="00F04BA6"/>
    <w:rsid w:val="00F10E40"/>
    <w:rsid w:val="00F21AB6"/>
    <w:rsid w:val="00F23A6A"/>
    <w:rsid w:val="00F32498"/>
    <w:rsid w:val="00F34634"/>
    <w:rsid w:val="00F363EF"/>
    <w:rsid w:val="00F40F9C"/>
    <w:rsid w:val="00F42656"/>
    <w:rsid w:val="00F42EAA"/>
    <w:rsid w:val="00F47D47"/>
    <w:rsid w:val="00F52EC6"/>
    <w:rsid w:val="00F559B9"/>
    <w:rsid w:val="00F560AF"/>
    <w:rsid w:val="00F5678C"/>
    <w:rsid w:val="00F57129"/>
    <w:rsid w:val="00F61D4D"/>
    <w:rsid w:val="00F633B5"/>
    <w:rsid w:val="00F666B0"/>
    <w:rsid w:val="00F728A3"/>
    <w:rsid w:val="00F741BF"/>
    <w:rsid w:val="00F75B26"/>
    <w:rsid w:val="00F7754D"/>
    <w:rsid w:val="00F86FBA"/>
    <w:rsid w:val="00F92C98"/>
    <w:rsid w:val="00F94F36"/>
    <w:rsid w:val="00F97868"/>
    <w:rsid w:val="00FA0946"/>
    <w:rsid w:val="00FA57BA"/>
    <w:rsid w:val="00FA5987"/>
    <w:rsid w:val="00FB0C19"/>
    <w:rsid w:val="00FB3E7C"/>
    <w:rsid w:val="00FB4F90"/>
    <w:rsid w:val="00FB506B"/>
    <w:rsid w:val="00FB525C"/>
    <w:rsid w:val="00FC07B8"/>
    <w:rsid w:val="00FC0C7B"/>
    <w:rsid w:val="00FC1365"/>
    <w:rsid w:val="00FD0F74"/>
    <w:rsid w:val="00FD2EFD"/>
    <w:rsid w:val="00FD5B0B"/>
    <w:rsid w:val="00FD5B0C"/>
    <w:rsid w:val="00FE185C"/>
    <w:rsid w:val="00FE7B66"/>
    <w:rsid w:val="00FF103E"/>
    <w:rsid w:val="00FF41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798</Words>
  <Characters>4393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Assist.Wided</dc:creator>
  <cp:lastModifiedBy>Assist.Wided</cp:lastModifiedBy>
  <cp:revision>1</cp:revision>
  <dcterms:created xsi:type="dcterms:W3CDTF">2012-03-31T11:58:00Z</dcterms:created>
  <dcterms:modified xsi:type="dcterms:W3CDTF">2012-03-31T12:11:00Z</dcterms:modified>
</cp:coreProperties>
</file>