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31BB4" w14:textId="77777777" w:rsidR="009C4F36" w:rsidRDefault="009C4F36" w:rsidP="009C4F36">
      <w:pPr>
        <w:bidi/>
        <w:spacing w:after="0"/>
        <w:ind w:left="283"/>
        <w:jc w:val="both"/>
        <w:rPr>
          <w:rFonts w:ascii="Arial" w:hAnsi="Arial" w:cs="Arial" w:hint="cs"/>
          <w:rtl/>
        </w:rPr>
      </w:pPr>
    </w:p>
    <w:p w14:paraId="754D6CFF" w14:textId="18C7FD40" w:rsidR="00C7268B" w:rsidRDefault="00C7268B" w:rsidP="009C4F36">
      <w:pPr>
        <w:bidi/>
        <w:spacing w:after="0"/>
        <w:ind w:left="283"/>
        <w:jc w:val="both"/>
        <w:rPr>
          <w:rFonts w:ascii="Arial" w:hAnsi="Arial" w:cs="Arial" w:hint="cs"/>
          <w:b/>
          <w:bCs/>
          <w:sz w:val="24"/>
          <w:szCs w:val="24"/>
          <w:rtl/>
        </w:rPr>
      </w:pPr>
      <w:r w:rsidRPr="009C4F36">
        <w:rPr>
          <w:rFonts w:ascii="Arial" w:hAnsi="Arial" w:cs="Arial" w:hint="cs"/>
          <w:b/>
          <w:bCs/>
          <w:sz w:val="24"/>
          <w:szCs w:val="24"/>
          <w:rtl/>
        </w:rPr>
        <w:t xml:space="preserve">منشور عدد 32 لسنة 2007 مؤرخ في 24 جويلية 2007 يتعلق بالالتزام بالقواعد المنظمة لعلاقاتنا الخارجية </w:t>
      </w:r>
    </w:p>
    <w:p w14:paraId="1BAA3652" w14:textId="77777777" w:rsidR="009C4F36" w:rsidRPr="009C4F36" w:rsidRDefault="009C4F36" w:rsidP="009C4F36">
      <w:pPr>
        <w:bidi/>
        <w:spacing w:after="0"/>
        <w:ind w:left="283"/>
        <w:jc w:val="both"/>
        <w:rPr>
          <w:rFonts w:ascii="Arial" w:hAnsi="Arial" w:cs="Arial"/>
          <w:b/>
          <w:bCs/>
        </w:rPr>
      </w:pPr>
      <w:bookmarkStart w:id="0" w:name="_GoBack"/>
      <w:bookmarkEnd w:id="0"/>
    </w:p>
    <w:p w14:paraId="4B4B3693" w14:textId="6D915EA4" w:rsidR="00C7268B" w:rsidRPr="009C4F36" w:rsidRDefault="00C7268B" w:rsidP="009C4F36">
      <w:pPr>
        <w:bidi/>
        <w:spacing w:after="0"/>
        <w:ind w:left="283"/>
        <w:jc w:val="both"/>
        <w:rPr>
          <w:rFonts w:ascii="Arial" w:hAnsi="Arial" w:cs="Arial"/>
          <w:b/>
          <w:bCs/>
          <w:rtl/>
        </w:rPr>
      </w:pPr>
      <w:r w:rsidRPr="009C4F36">
        <w:rPr>
          <w:rFonts w:ascii="Arial" w:hAnsi="Arial" w:cs="Arial" w:hint="cs"/>
          <w:b/>
          <w:bCs/>
          <w:rtl/>
        </w:rPr>
        <w:t xml:space="preserve">المرجع: </w:t>
      </w:r>
    </w:p>
    <w:p w14:paraId="34F262D9" w14:textId="312A44C5" w:rsidR="00C7268B" w:rsidRPr="009C4F36" w:rsidRDefault="00C7268B" w:rsidP="009C4F36">
      <w:pPr>
        <w:pStyle w:val="Paragraphedeliste"/>
        <w:numPr>
          <w:ilvl w:val="0"/>
          <w:numId w:val="37"/>
        </w:numPr>
        <w:bidi/>
        <w:spacing w:after="0"/>
        <w:ind w:left="927"/>
        <w:jc w:val="both"/>
        <w:rPr>
          <w:rFonts w:ascii="Arial" w:hAnsi="Arial" w:cs="Arial"/>
          <w:b/>
          <w:bCs/>
        </w:rPr>
      </w:pPr>
      <w:r w:rsidRPr="009C4F36">
        <w:rPr>
          <w:rFonts w:ascii="Arial" w:hAnsi="Arial" w:cs="Arial" w:hint="cs"/>
          <w:b/>
          <w:bCs/>
          <w:rtl/>
        </w:rPr>
        <w:t xml:space="preserve">منشور الوزير الأول عدد 14 بتاريخ 17 افريل 1998 </w:t>
      </w:r>
    </w:p>
    <w:p w14:paraId="3FDA34D9" w14:textId="3033AEA3" w:rsidR="00C7268B" w:rsidRPr="009C4F36" w:rsidRDefault="00C7268B" w:rsidP="009C4F36">
      <w:pPr>
        <w:pStyle w:val="Paragraphedeliste"/>
        <w:numPr>
          <w:ilvl w:val="0"/>
          <w:numId w:val="37"/>
        </w:numPr>
        <w:bidi/>
        <w:spacing w:after="0"/>
        <w:ind w:left="927"/>
        <w:jc w:val="both"/>
        <w:rPr>
          <w:rFonts w:ascii="Arial" w:hAnsi="Arial" w:cs="Arial"/>
          <w:b/>
          <w:bCs/>
        </w:rPr>
      </w:pPr>
      <w:r w:rsidRPr="009C4F36">
        <w:rPr>
          <w:rFonts w:ascii="Arial" w:hAnsi="Arial" w:cs="Arial" w:hint="cs"/>
          <w:b/>
          <w:bCs/>
          <w:rtl/>
        </w:rPr>
        <w:t xml:space="preserve">منشور الوزير الأول عدد 6 بتاريخ 5 فيفري 1999 </w:t>
      </w:r>
    </w:p>
    <w:p w14:paraId="4D4376DC" w14:textId="78C04F5D" w:rsidR="00C7268B" w:rsidRPr="009C4F36" w:rsidRDefault="00C7268B" w:rsidP="009C4F36">
      <w:pPr>
        <w:pStyle w:val="Paragraphedeliste"/>
        <w:numPr>
          <w:ilvl w:val="0"/>
          <w:numId w:val="37"/>
        </w:numPr>
        <w:bidi/>
        <w:spacing w:after="0"/>
        <w:ind w:left="927"/>
        <w:jc w:val="both"/>
        <w:rPr>
          <w:rFonts w:ascii="Arial" w:hAnsi="Arial" w:cs="Arial"/>
          <w:b/>
          <w:bCs/>
        </w:rPr>
      </w:pPr>
      <w:r w:rsidRPr="009C4F36">
        <w:rPr>
          <w:rFonts w:ascii="Arial" w:hAnsi="Arial" w:cs="Arial" w:hint="cs"/>
          <w:b/>
          <w:bCs/>
          <w:rtl/>
        </w:rPr>
        <w:t>منشور الوزير الأول عدد 10 بتاريخ 12 فيفري 2005</w:t>
      </w:r>
    </w:p>
    <w:p w14:paraId="4A766169" w14:textId="01253A92" w:rsidR="00C7268B" w:rsidRPr="009C4F36" w:rsidRDefault="00C7268B" w:rsidP="009C4F36">
      <w:pPr>
        <w:pStyle w:val="Paragraphedeliste"/>
        <w:numPr>
          <w:ilvl w:val="0"/>
          <w:numId w:val="37"/>
        </w:numPr>
        <w:bidi/>
        <w:spacing w:after="0"/>
        <w:ind w:left="927"/>
        <w:jc w:val="both"/>
        <w:rPr>
          <w:rFonts w:ascii="Arial" w:hAnsi="Arial" w:cs="Arial"/>
          <w:b/>
          <w:bCs/>
        </w:rPr>
      </w:pPr>
      <w:r w:rsidRPr="009C4F36">
        <w:rPr>
          <w:rFonts w:ascii="Arial" w:hAnsi="Arial" w:cs="Arial" w:hint="cs"/>
          <w:b/>
          <w:bCs/>
          <w:rtl/>
        </w:rPr>
        <w:t>منشور الوزير الأول عدد 56 بتاريخ 28 أكتوبر 2005</w:t>
      </w:r>
    </w:p>
    <w:p w14:paraId="13E1C2B4" w14:textId="77777777" w:rsidR="00F41E30" w:rsidRDefault="00F41E30" w:rsidP="009C4F36">
      <w:pPr>
        <w:pStyle w:val="Paragraphedeliste"/>
        <w:bidi/>
        <w:spacing w:after="0"/>
        <w:ind w:left="283"/>
        <w:jc w:val="both"/>
        <w:rPr>
          <w:rFonts w:ascii="Arial" w:hAnsi="Arial" w:cs="Arial"/>
          <w:rtl/>
        </w:rPr>
      </w:pPr>
    </w:p>
    <w:p w14:paraId="3A83D2FC" w14:textId="5C734131" w:rsidR="00C7268B" w:rsidRDefault="00C7268B" w:rsidP="009C4F36">
      <w:pPr>
        <w:pStyle w:val="Paragraphedeliste"/>
        <w:bidi/>
        <w:spacing w:after="0"/>
        <w:ind w:left="283"/>
        <w:jc w:val="both"/>
        <w:rPr>
          <w:rFonts w:ascii="Arial" w:hAnsi="Arial" w:cs="Arial"/>
          <w:rtl/>
        </w:rPr>
      </w:pPr>
      <w:r>
        <w:rPr>
          <w:rFonts w:ascii="Arial" w:hAnsi="Arial" w:cs="Arial" w:hint="cs"/>
          <w:rtl/>
        </w:rPr>
        <w:t xml:space="preserve">وبعد، لقد تبين أن بعض الهياكل العمومية لم تلتزم بالقواعد المنظمة لعلاقاتنا الخارجية والمبينة بمناشيري </w:t>
      </w:r>
      <w:r w:rsidR="00121D66">
        <w:rPr>
          <w:rFonts w:ascii="Arial" w:hAnsi="Arial" w:cs="Arial" w:hint="cs"/>
          <w:rtl/>
        </w:rPr>
        <w:t xml:space="preserve">المشار إليها بالمرجع أعلاه، حيث استرعى الانتباه مواصلتها التعامل </w:t>
      </w:r>
      <w:r w:rsidR="009C4F36">
        <w:rPr>
          <w:rFonts w:ascii="Arial" w:hAnsi="Arial" w:cs="Arial" w:hint="cs"/>
          <w:rtl/>
        </w:rPr>
        <w:t>والاتصا</w:t>
      </w:r>
      <w:r w:rsidR="009C4F36">
        <w:rPr>
          <w:rFonts w:ascii="Arial" w:hAnsi="Arial" w:cs="Arial"/>
          <w:rtl/>
        </w:rPr>
        <w:t>ل</w:t>
      </w:r>
      <w:r w:rsidR="00121D66">
        <w:rPr>
          <w:rFonts w:ascii="Arial" w:hAnsi="Arial" w:cs="Arial" w:hint="cs"/>
          <w:rtl/>
        </w:rPr>
        <w:t xml:space="preserve"> المباشرين مع ممثليات أجنبية معتمدة بتونس من سفارات ومراكز قنصلية ومنظمات دولية وإقليمية ومنظمات دولية غير حكومية، عبر توجيه مراسلات إليها واستقبال وفود عنها وعقد اجتماعات مع ممثليها والاتفاق على برامج عمل معها دون إعلام وزارة الشؤون الخارجية أو تشريك ممثل عن مصالحها.</w:t>
      </w:r>
    </w:p>
    <w:p w14:paraId="03B9DD52" w14:textId="77777777" w:rsidR="00121D66" w:rsidRDefault="00121D66" w:rsidP="009C4F36">
      <w:pPr>
        <w:pStyle w:val="Paragraphedeliste"/>
        <w:bidi/>
        <w:spacing w:after="0"/>
        <w:ind w:left="283"/>
        <w:jc w:val="both"/>
        <w:rPr>
          <w:rFonts w:ascii="Arial" w:hAnsi="Arial" w:cs="Arial"/>
          <w:rtl/>
        </w:rPr>
      </w:pPr>
    </w:p>
    <w:p w14:paraId="2F3842BE" w14:textId="43F4362D" w:rsidR="00121D66" w:rsidRDefault="00121D66" w:rsidP="009C4F36">
      <w:pPr>
        <w:pStyle w:val="Paragraphedeliste"/>
        <w:bidi/>
        <w:spacing w:after="0"/>
        <w:ind w:left="283"/>
        <w:jc w:val="both"/>
        <w:rPr>
          <w:rFonts w:ascii="Arial" w:hAnsi="Arial" w:cs="Arial" w:hint="cs"/>
          <w:rtl/>
        </w:rPr>
      </w:pPr>
      <w:r>
        <w:rPr>
          <w:rFonts w:ascii="Arial" w:hAnsi="Arial" w:cs="Arial" w:hint="cs"/>
          <w:rtl/>
        </w:rPr>
        <w:t xml:space="preserve">كما تبين أن بعض الهياكل العمومية واصلت توجيه وثائق رسمية إلى البعثات التونسية وإلى </w:t>
      </w:r>
      <w:r w:rsidR="00EE2DE8">
        <w:rPr>
          <w:rFonts w:ascii="Arial" w:hAnsi="Arial" w:cs="Arial" w:hint="cs"/>
          <w:rtl/>
        </w:rPr>
        <w:t>جهات أجنبية بالخارج دون التنسيق مع وزارة الشؤون الخارجية وإحاطتها علما بذلك.</w:t>
      </w:r>
    </w:p>
    <w:p w14:paraId="0C449E0D" w14:textId="77777777" w:rsidR="009C4F36" w:rsidRDefault="009C4F36" w:rsidP="009C4F36">
      <w:pPr>
        <w:pStyle w:val="Paragraphedeliste"/>
        <w:bidi/>
        <w:spacing w:after="0"/>
        <w:ind w:left="283"/>
        <w:jc w:val="both"/>
        <w:rPr>
          <w:rFonts w:ascii="Arial" w:hAnsi="Arial" w:cs="Arial"/>
          <w:rtl/>
        </w:rPr>
      </w:pPr>
    </w:p>
    <w:p w14:paraId="69718B27" w14:textId="50735EA1" w:rsidR="00EE2DE8" w:rsidRDefault="00EE2DE8" w:rsidP="009C4F36">
      <w:pPr>
        <w:pStyle w:val="Paragraphedeliste"/>
        <w:bidi/>
        <w:spacing w:after="0"/>
        <w:ind w:left="283"/>
        <w:jc w:val="both"/>
        <w:rPr>
          <w:rFonts w:ascii="Arial" w:hAnsi="Arial" w:cs="Arial" w:hint="cs"/>
          <w:rtl/>
        </w:rPr>
      </w:pPr>
      <w:r>
        <w:rPr>
          <w:rFonts w:ascii="Arial" w:hAnsi="Arial" w:cs="Arial" w:hint="cs"/>
          <w:rtl/>
        </w:rPr>
        <w:t>وتبين أيضا أن بعض البعثات الديبلوماسية والقنصلية والممثليات الدولية المعتمدة بتونس تواصل مباشرة بالوزارات والمؤسسات الرسمية التونسية بهدف ترتيب لقاءات معها وذلك دون التنسيق المسبق مع مصالح وزارة الشؤون الخارجية.</w:t>
      </w:r>
    </w:p>
    <w:p w14:paraId="3F70163E" w14:textId="77777777" w:rsidR="009C4F36" w:rsidRDefault="009C4F36" w:rsidP="009C4F36">
      <w:pPr>
        <w:pStyle w:val="Paragraphedeliste"/>
        <w:bidi/>
        <w:spacing w:after="0"/>
        <w:ind w:left="283"/>
        <w:jc w:val="both"/>
        <w:rPr>
          <w:rFonts w:ascii="Arial" w:hAnsi="Arial" w:cs="Arial"/>
          <w:rtl/>
        </w:rPr>
      </w:pPr>
    </w:p>
    <w:p w14:paraId="4C360BE6" w14:textId="1E9DCB58" w:rsidR="00EE2DE8" w:rsidRDefault="00EE2DE8" w:rsidP="009C4F36">
      <w:pPr>
        <w:pStyle w:val="Paragraphedeliste"/>
        <w:bidi/>
        <w:spacing w:after="0"/>
        <w:ind w:left="283"/>
        <w:jc w:val="both"/>
        <w:rPr>
          <w:rFonts w:ascii="Arial" w:hAnsi="Arial" w:cs="Arial" w:hint="cs"/>
          <w:rtl/>
          <w:lang w:bidi="ar-TN"/>
        </w:rPr>
      </w:pPr>
      <w:r>
        <w:rPr>
          <w:rFonts w:ascii="Arial" w:hAnsi="Arial" w:cs="Arial" w:hint="cs"/>
          <w:rtl/>
        </w:rPr>
        <w:t xml:space="preserve">وإني إذا </w:t>
      </w:r>
      <w:r w:rsidR="009C4F36">
        <w:rPr>
          <w:rFonts w:ascii="Arial" w:hAnsi="Arial" w:cs="Arial" w:hint="cs"/>
          <w:rtl/>
        </w:rPr>
        <w:t>أؤكد</w:t>
      </w:r>
      <w:r>
        <w:rPr>
          <w:rFonts w:ascii="Arial" w:hAnsi="Arial" w:cs="Arial" w:hint="cs"/>
          <w:rtl/>
        </w:rPr>
        <w:t xml:space="preserve"> على ضرورة الالتزام بالقواعد المنظمة </w:t>
      </w:r>
      <w:r w:rsidR="00783B9C">
        <w:rPr>
          <w:rFonts w:ascii="Arial" w:hAnsi="Arial" w:cs="Arial" w:hint="cs"/>
          <w:rtl/>
          <w:lang w:bidi="ar-TN"/>
        </w:rPr>
        <w:t>لعلاقاتنا الخارجية لما تكتسيه من أهمية لضمان تنسيق أنجع في العلاقات التونسية مع الدول الأجنبية والمنظمات الدولية، فإني أذكر مجددا بأهم هذه القواعد الواجب اتباعها:</w:t>
      </w:r>
    </w:p>
    <w:p w14:paraId="730164F8" w14:textId="77777777" w:rsidR="00783B9C" w:rsidRDefault="00783B9C" w:rsidP="009C4F36">
      <w:pPr>
        <w:pStyle w:val="Paragraphedeliste"/>
        <w:bidi/>
        <w:spacing w:after="0"/>
        <w:ind w:left="283"/>
        <w:jc w:val="both"/>
        <w:rPr>
          <w:rFonts w:ascii="Arial" w:hAnsi="Arial" w:cs="Arial" w:hint="cs"/>
          <w:rtl/>
          <w:lang w:bidi="ar-TN"/>
        </w:rPr>
      </w:pPr>
    </w:p>
    <w:p w14:paraId="5E4AD1D7" w14:textId="4D6FEDBE" w:rsidR="00783B9C" w:rsidRDefault="00783B9C" w:rsidP="009C4F36">
      <w:pPr>
        <w:pStyle w:val="Paragraphedeliste"/>
        <w:numPr>
          <w:ilvl w:val="0"/>
          <w:numId w:val="38"/>
        </w:numPr>
        <w:bidi/>
        <w:spacing w:after="0"/>
        <w:ind w:left="927"/>
        <w:jc w:val="both"/>
        <w:rPr>
          <w:rFonts w:ascii="Arial" w:hAnsi="Arial" w:cs="Arial" w:hint="cs"/>
          <w:lang w:bidi="ar-TN"/>
        </w:rPr>
      </w:pPr>
      <w:r>
        <w:rPr>
          <w:rFonts w:ascii="Arial" w:hAnsi="Arial" w:cs="Arial" w:hint="cs"/>
          <w:rtl/>
          <w:lang w:bidi="ar-TN"/>
        </w:rPr>
        <w:t xml:space="preserve">إحالة </w:t>
      </w:r>
      <w:r w:rsidR="009C4F36">
        <w:rPr>
          <w:rFonts w:ascii="Arial" w:hAnsi="Arial" w:cs="Arial" w:hint="cs"/>
          <w:rtl/>
          <w:lang w:bidi="ar-TN"/>
        </w:rPr>
        <w:t>المراسلات</w:t>
      </w:r>
      <w:r>
        <w:rPr>
          <w:rFonts w:ascii="Arial" w:hAnsi="Arial" w:cs="Arial" w:hint="cs"/>
          <w:rtl/>
          <w:lang w:bidi="ar-TN"/>
        </w:rPr>
        <w:t xml:space="preserve"> بما في ذلك طلبات المواعيد واللقاءات الموجهة إلى الهياكل العمومية التونسية، من قبل كافة الجهات الأجنبية، إلى وزارة الشؤون الخارجية باعتبارها الجهة المؤهلة لمعالجتها وفق الاتفاقيات الدولية والأعراف الديبلوماسية والتراتيب الجاري بها العمل.</w:t>
      </w:r>
    </w:p>
    <w:p w14:paraId="4A120C5F" w14:textId="77777777" w:rsidR="009C4F36" w:rsidRDefault="009C4F36" w:rsidP="009C4F36">
      <w:pPr>
        <w:pStyle w:val="Paragraphedeliste"/>
        <w:bidi/>
        <w:spacing w:after="0"/>
        <w:ind w:left="927"/>
        <w:jc w:val="both"/>
        <w:rPr>
          <w:rFonts w:ascii="Arial" w:hAnsi="Arial" w:cs="Arial" w:hint="cs"/>
          <w:lang w:bidi="ar-TN"/>
        </w:rPr>
      </w:pPr>
    </w:p>
    <w:p w14:paraId="681A39EB" w14:textId="09B59AA1" w:rsidR="009C4F36" w:rsidRPr="009C4F36" w:rsidRDefault="00783B9C" w:rsidP="009C4F36">
      <w:pPr>
        <w:pStyle w:val="Paragraphedeliste"/>
        <w:numPr>
          <w:ilvl w:val="0"/>
          <w:numId w:val="38"/>
        </w:numPr>
        <w:bidi/>
        <w:spacing w:after="0"/>
        <w:ind w:left="927"/>
        <w:jc w:val="both"/>
        <w:rPr>
          <w:rFonts w:ascii="Arial" w:hAnsi="Arial" w:cs="Arial" w:hint="cs"/>
          <w:rtl/>
          <w:lang w:bidi="ar-TN"/>
        </w:rPr>
      </w:pPr>
      <w:r>
        <w:rPr>
          <w:rFonts w:ascii="Arial" w:hAnsi="Arial" w:cs="Arial" w:hint="cs"/>
          <w:rtl/>
          <w:lang w:bidi="ar-TN"/>
        </w:rPr>
        <w:t xml:space="preserve">توجيه المراسلات الرسمية إلى الأطراف الأجنبية عبر مصالح وزارة الشؤون الخارجية دون غيرها والتي تتكفل </w:t>
      </w:r>
      <w:r w:rsidR="009C4F36">
        <w:rPr>
          <w:rFonts w:ascii="Arial" w:hAnsi="Arial" w:cs="Arial" w:hint="cs"/>
          <w:rtl/>
          <w:lang w:bidi="ar-TN"/>
        </w:rPr>
        <w:t>بإبلاغها</w:t>
      </w:r>
      <w:r>
        <w:rPr>
          <w:rFonts w:ascii="Arial" w:hAnsi="Arial" w:cs="Arial" w:hint="cs"/>
          <w:rtl/>
          <w:lang w:bidi="ar-TN"/>
        </w:rPr>
        <w:t xml:space="preserve"> إلى الجهات المعنية، وتتولى وزارة الشؤون الخارجية من ناحياتها </w:t>
      </w:r>
      <w:r w:rsidR="00C24608">
        <w:rPr>
          <w:rFonts w:ascii="Arial" w:hAnsi="Arial" w:cs="Arial" w:hint="cs"/>
          <w:rtl/>
          <w:lang w:bidi="ar-TN"/>
        </w:rPr>
        <w:t>إحالة ما يرد عليها من مراسلات صادرة عن أطراف أجنبية إلى الوزارات والمؤسسات التونسية المعنية.</w:t>
      </w:r>
    </w:p>
    <w:p w14:paraId="31717174" w14:textId="77777777" w:rsidR="009C4F36" w:rsidRDefault="009C4F36" w:rsidP="009C4F36">
      <w:pPr>
        <w:pStyle w:val="Paragraphedeliste"/>
        <w:bidi/>
        <w:spacing w:after="0"/>
        <w:ind w:left="927"/>
        <w:jc w:val="both"/>
        <w:rPr>
          <w:rFonts w:ascii="Arial" w:hAnsi="Arial" w:cs="Arial" w:hint="cs"/>
          <w:lang w:bidi="ar-TN"/>
        </w:rPr>
      </w:pPr>
    </w:p>
    <w:p w14:paraId="5A0C2E2C" w14:textId="6A16B92C" w:rsidR="00C24608" w:rsidRDefault="00C24608" w:rsidP="009C4F36">
      <w:pPr>
        <w:pStyle w:val="Paragraphedeliste"/>
        <w:numPr>
          <w:ilvl w:val="0"/>
          <w:numId w:val="38"/>
        </w:numPr>
        <w:bidi/>
        <w:spacing w:after="0"/>
        <w:ind w:left="927"/>
        <w:jc w:val="both"/>
        <w:rPr>
          <w:rFonts w:ascii="Arial" w:hAnsi="Arial" w:cs="Arial" w:hint="cs"/>
          <w:lang w:bidi="ar-TN"/>
        </w:rPr>
      </w:pPr>
      <w:r>
        <w:rPr>
          <w:rFonts w:ascii="Arial" w:hAnsi="Arial" w:cs="Arial" w:hint="cs"/>
          <w:rtl/>
          <w:lang w:bidi="ar-TN"/>
        </w:rPr>
        <w:t xml:space="preserve">إعلام وزارة الشؤون الخارجية كتابيا وبصفة مسبقة وفي الآجال المناسبة بكل المواعيد أو الاتصالات مع الجهات الأجنبية من بعثات ديبلوماسية ومراكز قنصلية وممثليات منظمات دولية على المواعيد أو الاتصالات المزمع </w:t>
      </w:r>
      <w:r w:rsidR="009C4F36">
        <w:rPr>
          <w:rFonts w:ascii="Arial" w:hAnsi="Arial" w:cs="Arial" w:hint="cs"/>
          <w:rtl/>
          <w:lang w:bidi="ar-TN"/>
        </w:rPr>
        <w:t>إجراؤه</w:t>
      </w:r>
      <w:r w:rsidR="009C4F36">
        <w:rPr>
          <w:rFonts w:ascii="Arial" w:hAnsi="Arial" w:cs="Arial"/>
          <w:rtl/>
          <w:lang w:bidi="ar-TN"/>
        </w:rPr>
        <w:t>ا</w:t>
      </w:r>
      <w:r>
        <w:rPr>
          <w:rFonts w:ascii="Arial" w:hAnsi="Arial" w:cs="Arial" w:hint="cs"/>
          <w:rtl/>
          <w:lang w:bidi="ar-TN"/>
        </w:rPr>
        <w:t>.</w:t>
      </w:r>
    </w:p>
    <w:p w14:paraId="0A59E1CF" w14:textId="77777777" w:rsidR="009C4F36" w:rsidRPr="009C4F36" w:rsidRDefault="009C4F36" w:rsidP="009C4F36">
      <w:pPr>
        <w:pStyle w:val="Paragraphedeliste"/>
        <w:spacing w:after="0"/>
        <w:rPr>
          <w:rFonts w:ascii="Arial" w:hAnsi="Arial" w:cs="Arial" w:hint="cs"/>
          <w:rtl/>
          <w:lang w:bidi="ar-TN"/>
        </w:rPr>
      </w:pPr>
    </w:p>
    <w:p w14:paraId="747F1ABB" w14:textId="77510A3C" w:rsidR="00C24608" w:rsidRDefault="00C24608" w:rsidP="009C4F36">
      <w:pPr>
        <w:pStyle w:val="Paragraphedeliste"/>
        <w:numPr>
          <w:ilvl w:val="0"/>
          <w:numId w:val="38"/>
        </w:numPr>
        <w:bidi/>
        <w:spacing w:after="0"/>
        <w:ind w:left="927"/>
        <w:jc w:val="both"/>
        <w:rPr>
          <w:rFonts w:ascii="Arial" w:hAnsi="Arial" w:cs="Arial" w:hint="cs"/>
          <w:lang w:bidi="ar-TN"/>
        </w:rPr>
      </w:pPr>
      <w:r>
        <w:rPr>
          <w:rFonts w:ascii="Arial" w:hAnsi="Arial" w:cs="Arial" w:hint="cs"/>
          <w:rtl/>
          <w:lang w:bidi="ar-TN"/>
        </w:rPr>
        <w:t>تشريك ممثل عن وزارة الشؤون الخارجية في الاجتماعات والمحادثات مع الأطراف الأجنبية وتوجيه تقارير ضافية حول الاتصالات معها وتوضيح نتائجها وذلك في صورة تعذر حضور ممثل وزارة الشؤون الخارجية.</w:t>
      </w:r>
    </w:p>
    <w:p w14:paraId="5558CCE8" w14:textId="77777777" w:rsidR="009C4F36" w:rsidRDefault="009C4F36" w:rsidP="009C4F36">
      <w:pPr>
        <w:pStyle w:val="Paragraphedeliste"/>
        <w:bidi/>
        <w:spacing w:after="0"/>
        <w:ind w:left="927"/>
        <w:jc w:val="both"/>
        <w:rPr>
          <w:rFonts w:ascii="Arial" w:hAnsi="Arial" w:cs="Arial" w:hint="cs"/>
          <w:lang w:bidi="ar-TN"/>
        </w:rPr>
      </w:pPr>
    </w:p>
    <w:p w14:paraId="6F5FE5A4" w14:textId="5EA1A1FC" w:rsidR="009C4F36" w:rsidRPr="009C4F36" w:rsidRDefault="00C24608" w:rsidP="009C4F36">
      <w:pPr>
        <w:pStyle w:val="Paragraphedeliste"/>
        <w:numPr>
          <w:ilvl w:val="0"/>
          <w:numId w:val="38"/>
        </w:numPr>
        <w:bidi/>
        <w:spacing w:after="0"/>
        <w:ind w:left="927"/>
        <w:jc w:val="both"/>
        <w:rPr>
          <w:rFonts w:ascii="Arial" w:hAnsi="Arial" w:cs="Arial" w:hint="cs"/>
          <w:rtl/>
          <w:lang w:bidi="ar-TN"/>
        </w:rPr>
      </w:pPr>
      <w:r>
        <w:rPr>
          <w:rFonts w:ascii="Arial" w:hAnsi="Arial" w:cs="Arial" w:hint="cs"/>
          <w:rtl/>
          <w:lang w:bidi="ar-TN"/>
        </w:rPr>
        <w:t>إعلام الوزارة الأولى  ووزارة الشؤون الخارجية بكل زيارة يقوم بها وفد أو شخصية أجنبية قبل حلول موعدها مع بيان موضوع الزيارة وتركيبة الوفد ورتبة الشخصية الأجنبية التي ترأس الوفد، حتى يتسنى تنسيق المواقف واتخاذ القرارات الملائمة في الغرض.</w:t>
      </w:r>
    </w:p>
    <w:p w14:paraId="71589BDA" w14:textId="77777777" w:rsidR="009C4F36" w:rsidRDefault="009C4F36" w:rsidP="009C4F36">
      <w:pPr>
        <w:pStyle w:val="Paragraphedeliste"/>
        <w:bidi/>
        <w:spacing w:after="0"/>
        <w:ind w:left="927"/>
        <w:jc w:val="both"/>
        <w:rPr>
          <w:rFonts w:ascii="Arial" w:hAnsi="Arial" w:cs="Arial" w:hint="cs"/>
          <w:lang w:bidi="ar-TN"/>
        </w:rPr>
      </w:pPr>
    </w:p>
    <w:p w14:paraId="2D9E9EBC" w14:textId="49A2E1DB" w:rsidR="00C24608" w:rsidRDefault="00C24608" w:rsidP="009C4F36">
      <w:pPr>
        <w:bidi/>
        <w:spacing w:after="0"/>
        <w:ind w:left="283"/>
        <w:jc w:val="both"/>
        <w:rPr>
          <w:rFonts w:ascii="Arial" w:hAnsi="Arial" w:cs="Arial" w:hint="cs"/>
          <w:rtl/>
          <w:lang w:bidi="ar-TN"/>
        </w:rPr>
      </w:pPr>
      <w:r>
        <w:rPr>
          <w:rFonts w:ascii="Arial" w:hAnsi="Arial" w:cs="Arial" w:hint="cs"/>
          <w:rtl/>
          <w:lang w:bidi="ar-TN"/>
        </w:rPr>
        <w:t xml:space="preserve">أما فيما يخص المهمات التي يقوم بها الإطارات والأعوان العموميون التونسيون سواء </w:t>
      </w:r>
      <w:r w:rsidR="009C4F36">
        <w:rPr>
          <w:rFonts w:ascii="Arial" w:hAnsi="Arial" w:cs="Arial" w:hint="cs"/>
          <w:rtl/>
          <w:lang w:bidi="ar-TN"/>
        </w:rPr>
        <w:t>في إطار مأموريات بالخارج أو في إ</w:t>
      </w:r>
      <w:r>
        <w:rPr>
          <w:rFonts w:ascii="Arial" w:hAnsi="Arial" w:cs="Arial" w:hint="cs"/>
          <w:rtl/>
          <w:lang w:bidi="ar-TN"/>
        </w:rPr>
        <w:t xml:space="preserve">طار دعوات موجهة إليهم من قبل جهات أجنبية، فيجدر التأكيد على ضرورة </w:t>
      </w:r>
      <w:r w:rsidR="009C4F36">
        <w:rPr>
          <w:rFonts w:ascii="Arial" w:hAnsi="Arial" w:cs="Arial" w:hint="cs"/>
          <w:rtl/>
          <w:lang w:bidi="ar-TN"/>
        </w:rPr>
        <w:t>احترام</w:t>
      </w:r>
      <w:r>
        <w:rPr>
          <w:rFonts w:ascii="Arial" w:hAnsi="Arial" w:cs="Arial" w:hint="cs"/>
          <w:rtl/>
          <w:lang w:bidi="ar-TN"/>
        </w:rPr>
        <w:t xml:space="preserve"> الإجراءات التالية:</w:t>
      </w:r>
    </w:p>
    <w:p w14:paraId="52BE75A8" w14:textId="337952B1" w:rsidR="00C24608" w:rsidRDefault="00C24608" w:rsidP="009C4F36">
      <w:pPr>
        <w:pStyle w:val="Paragraphedeliste"/>
        <w:numPr>
          <w:ilvl w:val="0"/>
          <w:numId w:val="39"/>
        </w:numPr>
        <w:bidi/>
        <w:spacing w:after="0"/>
        <w:ind w:left="927"/>
        <w:jc w:val="both"/>
        <w:rPr>
          <w:rFonts w:ascii="Arial" w:hAnsi="Arial" w:cs="Arial" w:hint="cs"/>
          <w:lang w:bidi="ar-TN"/>
        </w:rPr>
      </w:pPr>
      <w:r>
        <w:rPr>
          <w:rFonts w:ascii="Arial" w:hAnsi="Arial" w:cs="Arial" w:hint="cs"/>
          <w:rtl/>
          <w:lang w:bidi="ar-TN"/>
        </w:rPr>
        <w:t xml:space="preserve">بالنسبة إلى المأموريات بالخارج: إعلام وزارة الشؤون الخارجية، بصفة مسبقة، بكل المأموريات المزمع القيام بها حتى يتم إبلاغ </w:t>
      </w:r>
      <w:r w:rsidR="009C4F36">
        <w:rPr>
          <w:rFonts w:ascii="Arial" w:hAnsi="Arial" w:cs="Arial" w:hint="cs"/>
          <w:rtl/>
          <w:lang w:bidi="ar-TN"/>
        </w:rPr>
        <w:t>البعثة</w:t>
      </w:r>
      <w:r>
        <w:rPr>
          <w:rFonts w:ascii="Arial" w:hAnsi="Arial" w:cs="Arial" w:hint="cs"/>
          <w:rtl/>
          <w:lang w:bidi="ar-TN"/>
        </w:rPr>
        <w:t xml:space="preserve"> الديبلوماسية بالبلد المقصود بفحوى المأمورية وتاريخها للإعداد لها وضمان حصول الفائدة المرجوة منها. ويتعين على أعضاء الوفود </w:t>
      </w:r>
      <w:r w:rsidR="00BC42B7">
        <w:rPr>
          <w:rFonts w:ascii="Arial" w:hAnsi="Arial" w:cs="Arial" w:hint="cs"/>
          <w:rtl/>
          <w:lang w:bidi="ar-TN"/>
        </w:rPr>
        <w:t>التونسية الاتصال بسفرائنا أو من ينوبهم فور حلولهم ببلد الزيارة والتنسيق معهم حول المسائل التي قدموا من أجلها.</w:t>
      </w:r>
    </w:p>
    <w:p w14:paraId="325DD4C8" w14:textId="32431030" w:rsidR="00BC42B7" w:rsidRDefault="00BC42B7" w:rsidP="009C4F36">
      <w:pPr>
        <w:pStyle w:val="Paragraphedeliste"/>
        <w:numPr>
          <w:ilvl w:val="0"/>
          <w:numId w:val="39"/>
        </w:numPr>
        <w:bidi/>
        <w:spacing w:after="0"/>
        <w:ind w:left="927"/>
        <w:jc w:val="both"/>
        <w:rPr>
          <w:rFonts w:ascii="Arial" w:hAnsi="Arial" w:cs="Arial" w:hint="cs"/>
          <w:lang w:bidi="ar-TN"/>
        </w:rPr>
      </w:pPr>
      <w:r>
        <w:rPr>
          <w:rFonts w:ascii="Arial" w:hAnsi="Arial" w:cs="Arial" w:hint="cs"/>
          <w:rtl/>
          <w:lang w:bidi="ar-TN"/>
        </w:rPr>
        <w:lastRenderedPageBreak/>
        <w:t>بالنسبة إلى الدعوات الصادرة عن جهات وهياكل أجنبية رسمية أو غير رسمية والتي تتعلق بالمشاركة في اجتماعات أو مؤتمرات أو ندوات أو أيام دراسية أو غيرها من التظاهرات بالخارج والتي لا تندرج ضمن نشاط الهيكل الراجع إليه العون المعني بالنظر، عرض الدعوات الموجهة إلى الأعوان العموميين ، عن طريق وزارة الإشراف وفي متسع من الوقت، على الكتابة العامة للحكومة ووزارة الشؤون الخارجية قبل الموافقة على تلبية الدعوة.</w:t>
      </w:r>
    </w:p>
    <w:p w14:paraId="79D019EF" w14:textId="77777777" w:rsidR="009C4F36" w:rsidRDefault="009C4F36" w:rsidP="009C4F36">
      <w:pPr>
        <w:pStyle w:val="Paragraphedeliste"/>
        <w:bidi/>
        <w:spacing w:after="0"/>
        <w:ind w:left="927"/>
        <w:jc w:val="both"/>
        <w:rPr>
          <w:rFonts w:ascii="Arial" w:hAnsi="Arial" w:cs="Arial" w:hint="cs"/>
          <w:lang w:bidi="ar-TN"/>
        </w:rPr>
      </w:pPr>
    </w:p>
    <w:p w14:paraId="7793F9D5" w14:textId="0FB0166A" w:rsidR="009C4F36" w:rsidRDefault="00BC42B7" w:rsidP="009C4F36">
      <w:pPr>
        <w:bidi/>
        <w:spacing w:after="0"/>
        <w:ind w:left="283"/>
        <w:jc w:val="both"/>
        <w:rPr>
          <w:rFonts w:ascii="Arial" w:hAnsi="Arial" w:cs="Arial" w:hint="cs"/>
          <w:rtl/>
          <w:lang w:bidi="ar-TN"/>
        </w:rPr>
      </w:pPr>
      <w:r>
        <w:rPr>
          <w:rFonts w:ascii="Arial" w:hAnsi="Arial" w:cs="Arial" w:hint="cs"/>
          <w:rtl/>
          <w:lang w:bidi="ar-TN"/>
        </w:rPr>
        <w:t xml:space="preserve">هذا وأدعو مجددا السيدات والسادة والوزراء </w:t>
      </w:r>
      <w:r w:rsidR="009C4F36">
        <w:rPr>
          <w:rFonts w:ascii="Arial" w:hAnsi="Arial" w:cs="Arial" w:hint="cs"/>
          <w:rtl/>
          <w:lang w:bidi="ar-TN"/>
        </w:rPr>
        <w:t>وكتاب</w:t>
      </w:r>
      <w:r>
        <w:rPr>
          <w:rFonts w:ascii="Arial" w:hAnsi="Arial" w:cs="Arial" w:hint="cs"/>
          <w:rtl/>
          <w:lang w:bidi="ar-TN"/>
        </w:rPr>
        <w:t xml:space="preserve"> الدولة لتعيين موظف سام </w:t>
      </w:r>
      <w:r w:rsidR="009C4F36">
        <w:rPr>
          <w:rFonts w:ascii="Arial" w:hAnsi="Arial" w:cs="Arial" w:hint="cs"/>
          <w:rtl/>
          <w:lang w:bidi="ar-TN"/>
        </w:rPr>
        <w:t>يكون على إطلاع بمجال العلاقات الخارجية والتعاون الدولي، يمكن التنسيق معه كلما تعذر الاتصال بهم مباشرة وموافاة الوزارة الأولى بأسماء وبصفات الموظفين السامين المعنيين والمعطيات الكفيلة للاتصال بهم.</w:t>
      </w:r>
    </w:p>
    <w:p w14:paraId="3F7FDA6A" w14:textId="77777777" w:rsidR="009C4F36" w:rsidRDefault="009C4F36" w:rsidP="009C4F36">
      <w:pPr>
        <w:bidi/>
        <w:spacing w:after="0"/>
        <w:ind w:left="283"/>
        <w:jc w:val="both"/>
        <w:rPr>
          <w:rFonts w:ascii="Arial" w:hAnsi="Arial" w:cs="Arial" w:hint="cs"/>
          <w:rtl/>
          <w:lang w:bidi="ar-TN"/>
        </w:rPr>
      </w:pPr>
    </w:p>
    <w:p w14:paraId="7F6C2069" w14:textId="02E46980" w:rsidR="009C4F36" w:rsidRDefault="009C4F36" w:rsidP="009C4F36">
      <w:pPr>
        <w:bidi/>
        <w:spacing w:after="0"/>
        <w:ind w:left="283"/>
        <w:jc w:val="both"/>
        <w:rPr>
          <w:rFonts w:ascii="Arial" w:hAnsi="Arial" w:cs="Arial" w:hint="cs"/>
          <w:rtl/>
          <w:lang w:bidi="ar-TN"/>
        </w:rPr>
      </w:pPr>
      <w:r>
        <w:rPr>
          <w:rFonts w:ascii="Arial" w:hAnsi="Arial" w:cs="Arial" w:hint="cs"/>
          <w:rtl/>
          <w:lang w:bidi="ar-TN"/>
        </w:rPr>
        <w:t>ونظرا للأهمية البالغة التي يكتسيها الموضوع المرجو من السيدات والسادة الوزراء وكتاب الدولة الحرص على تطبيق مقتضيات هذا المنشور بكل دقة وإيلائه ما يستحق من عناية من قبل كافة الهياكل العمومية من جماعات محلية ومصالح إدارية ومؤسسات ومنشآت عمومية.</w:t>
      </w:r>
    </w:p>
    <w:p w14:paraId="26EAE043" w14:textId="77777777" w:rsidR="009C4F36" w:rsidRDefault="009C4F36" w:rsidP="009C4F36">
      <w:pPr>
        <w:bidi/>
        <w:spacing w:after="0"/>
        <w:ind w:left="283"/>
        <w:jc w:val="both"/>
        <w:rPr>
          <w:rFonts w:ascii="Arial" w:hAnsi="Arial" w:cs="Arial" w:hint="cs"/>
          <w:rtl/>
          <w:lang w:bidi="ar-TN"/>
        </w:rPr>
      </w:pPr>
    </w:p>
    <w:p w14:paraId="6DB18871" w14:textId="0CFA8FDE" w:rsidR="009C4F36" w:rsidRPr="009C4F36" w:rsidRDefault="009C4F36" w:rsidP="009C4F36">
      <w:pPr>
        <w:bidi/>
        <w:spacing w:after="0"/>
        <w:ind w:left="5669"/>
        <w:jc w:val="both"/>
        <w:rPr>
          <w:rFonts w:ascii="Arial" w:hAnsi="Arial" w:cs="Arial" w:hint="cs"/>
          <w:b/>
          <w:bCs/>
          <w:rtl/>
          <w:lang w:bidi="ar-TN"/>
        </w:rPr>
      </w:pPr>
      <w:r w:rsidRPr="009C4F36">
        <w:rPr>
          <w:rFonts w:ascii="Arial" w:hAnsi="Arial" w:cs="Arial" w:hint="cs"/>
          <w:b/>
          <w:bCs/>
          <w:rtl/>
          <w:lang w:bidi="ar-TN"/>
        </w:rPr>
        <w:t xml:space="preserve">والسلام </w:t>
      </w:r>
    </w:p>
    <w:p w14:paraId="036DF77E" w14:textId="77777777" w:rsidR="009C4F36" w:rsidRPr="00BC42B7" w:rsidRDefault="009C4F36" w:rsidP="009C4F36">
      <w:pPr>
        <w:bidi/>
        <w:spacing w:after="0"/>
        <w:ind w:left="283"/>
        <w:jc w:val="both"/>
        <w:rPr>
          <w:rFonts w:ascii="Arial" w:hAnsi="Arial" w:cs="Arial" w:hint="cs"/>
          <w:rtl/>
          <w:lang w:bidi="ar-TN"/>
        </w:rPr>
      </w:pPr>
    </w:p>
    <w:p w14:paraId="51271DC6" w14:textId="365B570B" w:rsidR="00FE6FD7" w:rsidRPr="00C7268B" w:rsidRDefault="00FE6FD7" w:rsidP="009C4F36">
      <w:pPr>
        <w:bidi/>
        <w:spacing w:after="0"/>
        <w:ind w:left="283"/>
        <w:jc w:val="both"/>
        <w:rPr>
          <w:rFonts w:ascii="Arial" w:hAnsi="Arial" w:cs="Arial"/>
          <w:rtl/>
        </w:rPr>
      </w:pPr>
      <w:r w:rsidRPr="00C7268B">
        <w:rPr>
          <w:rFonts w:ascii="Arial" w:hAnsi="Arial" w:cs="Arial" w:hint="cs"/>
          <w:rtl/>
        </w:rPr>
        <w:t xml:space="preserve"> </w:t>
      </w:r>
    </w:p>
    <w:sectPr w:rsidR="00FE6FD7" w:rsidRPr="00C7268B"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2EACC" w14:textId="77777777" w:rsidR="008E40A8" w:rsidRDefault="008E40A8" w:rsidP="008F3F2D">
      <w:r>
        <w:separator/>
      </w:r>
    </w:p>
  </w:endnote>
  <w:endnote w:type="continuationSeparator" w:id="0">
    <w:p w14:paraId="2C8DF718" w14:textId="77777777" w:rsidR="008E40A8" w:rsidRDefault="008E40A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C4F3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C4F3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C4F3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C4F3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E40A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E40A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E40A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E40A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11A" w14:textId="77777777" w:rsidR="000856EB" w:rsidRDefault="000856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2C6C2" w14:textId="77777777" w:rsidR="008E40A8" w:rsidRDefault="008E40A8" w:rsidP="00696990">
      <w:pPr>
        <w:bidi/>
        <w:jc w:val="both"/>
      </w:pPr>
      <w:r>
        <w:separator/>
      </w:r>
    </w:p>
  </w:footnote>
  <w:footnote w:type="continuationSeparator" w:id="0">
    <w:p w14:paraId="4CB4B934" w14:textId="77777777" w:rsidR="008E40A8" w:rsidRDefault="008E40A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ABB7" w14:textId="77777777" w:rsidR="000856EB" w:rsidRDefault="000856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D25"/>
    <w:multiLevelType w:val="hybridMultilevel"/>
    <w:tmpl w:val="888278D4"/>
    <w:lvl w:ilvl="0" w:tplc="B93CAB24">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1D2943"/>
    <w:multiLevelType w:val="hybridMultilevel"/>
    <w:tmpl w:val="759673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7655B71"/>
    <w:multiLevelType w:val="hybridMultilevel"/>
    <w:tmpl w:val="8FE8206C"/>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nsid w:val="08C22943"/>
    <w:multiLevelType w:val="hybridMultilevel"/>
    <w:tmpl w:val="2F3EEC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9763346"/>
    <w:multiLevelType w:val="hybridMultilevel"/>
    <w:tmpl w:val="84A8888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AD238D4"/>
    <w:multiLevelType w:val="hybridMultilevel"/>
    <w:tmpl w:val="A8F41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2E7975"/>
    <w:multiLevelType w:val="hybridMultilevel"/>
    <w:tmpl w:val="6A7C95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D13A76"/>
    <w:multiLevelType w:val="hybridMultilevel"/>
    <w:tmpl w:val="933E5222"/>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8">
    <w:nsid w:val="15330BDA"/>
    <w:multiLevelType w:val="hybridMultilevel"/>
    <w:tmpl w:val="B4CA5918"/>
    <w:lvl w:ilvl="0" w:tplc="D8DC3080">
      <w:numFmt w:val="bullet"/>
      <w:lvlText w:val="̶"/>
      <w:lvlJc w:val="left"/>
      <w:pPr>
        <w:ind w:left="1854" w:hanging="360"/>
      </w:pPr>
      <w:rPr>
        <w:rFonts w:ascii="Arial" w:eastAsiaTheme="minorEastAsia" w:hAnsi="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1A487B0A"/>
    <w:multiLevelType w:val="hybridMultilevel"/>
    <w:tmpl w:val="1E9001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AED1DE1"/>
    <w:multiLevelType w:val="hybridMultilevel"/>
    <w:tmpl w:val="018CD5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A41322"/>
    <w:multiLevelType w:val="hybridMultilevel"/>
    <w:tmpl w:val="5492BB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3D6021C"/>
    <w:multiLevelType w:val="hybridMultilevel"/>
    <w:tmpl w:val="58205A0E"/>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4D6629D"/>
    <w:multiLevelType w:val="hybridMultilevel"/>
    <w:tmpl w:val="73D04F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5613C9F"/>
    <w:multiLevelType w:val="hybridMultilevel"/>
    <w:tmpl w:val="BA4EE38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EA2E75"/>
    <w:multiLevelType w:val="hybridMultilevel"/>
    <w:tmpl w:val="03CAA2F4"/>
    <w:lvl w:ilvl="0" w:tplc="040C0001">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16">
    <w:nsid w:val="26971F79"/>
    <w:multiLevelType w:val="hybridMultilevel"/>
    <w:tmpl w:val="4FA007CE"/>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2D44426A"/>
    <w:multiLevelType w:val="hybridMultilevel"/>
    <w:tmpl w:val="4970C4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2CA25C1"/>
    <w:multiLevelType w:val="hybridMultilevel"/>
    <w:tmpl w:val="1EE0C6C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3B8A5CBC"/>
    <w:multiLevelType w:val="hybridMultilevel"/>
    <w:tmpl w:val="BAD6400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907DFA"/>
    <w:multiLevelType w:val="hybridMultilevel"/>
    <w:tmpl w:val="8702CFE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9279FA"/>
    <w:multiLevelType w:val="hybridMultilevel"/>
    <w:tmpl w:val="748EDD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FF44649"/>
    <w:multiLevelType w:val="hybridMultilevel"/>
    <w:tmpl w:val="32683EB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40664D79"/>
    <w:multiLevelType w:val="hybridMultilevel"/>
    <w:tmpl w:val="CA083A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4A4E5906"/>
    <w:multiLevelType w:val="hybridMultilevel"/>
    <w:tmpl w:val="0B623218"/>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2D06CC"/>
    <w:multiLevelType w:val="hybridMultilevel"/>
    <w:tmpl w:val="E730D02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20F5622"/>
    <w:multiLevelType w:val="hybridMultilevel"/>
    <w:tmpl w:val="49DE468C"/>
    <w:lvl w:ilvl="0" w:tplc="DF9A98C4">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nsid w:val="52C067C7"/>
    <w:multiLevelType w:val="hybridMultilevel"/>
    <w:tmpl w:val="04186EE8"/>
    <w:lvl w:ilvl="0" w:tplc="B93CAB2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192989"/>
    <w:multiLevelType w:val="hybridMultilevel"/>
    <w:tmpl w:val="686A1230"/>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A426FB7"/>
    <w:multiLevelType w:val="hybridMultilevel"/>
    <w:tmpl w:val="4434F7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5A5C31CD"/>
    <w:multiLevelType w:val="hybridMultilevel"/>
    <w:tmpl w:val="62BE72A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nsid w:val="6A504529"/>
    <w:multiLevelType w:val="hybridMultilevel"/>
    <w:tmpl w:val="0210A12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70151CD9"/>
    <w:multiLevelType w:val="hybridMultilevel"/>
    <w:tmpl w:val="C5FCEA1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1C3FDE"/>
    <w:multiLevelType w:val="hybridMultilevel"/>
    <w:tmpl w:val="EEA0092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7373428F"/>
    <w:multiLevelType w:val="hybridMultilevel"/>
    <w:tmpl w:val="5C326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B70B3F"/>
    <w:multiLevelType w:val="hybridMultilevel"/>
    <w:tmpl w:val="339C7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787863D4"/>
    <w:multiLevelType w:val="hybridMultilevel"/>
    <w:tmpl w:val="1AD8191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7">
    <w:nsid w:val="798D7585"/>
    <w:multiLevelType w:val="hybridMultilevel"/>
    <w:tmpl w:val="64EC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A7596"/>
    <w:multiLevelType w:val="hybridMultilevel"/>
    <w:tmpl w:val="B56EE7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25"/>
  </w:num>
  <w:num w:numId="3">
    <w:abstractNumId w:val="7"/>
  </w:num>
  <w:num w:numId="4">
    <w:abstractNumId w:val="20"/>
  </w:num>
  <w:num w:numId="5">
    <w:abstractNumId w:val="22"/>
  </w:num>
  <w:num w:numId="6">
    <w:abstractNumId w:val="16"/>
  </w:num>
  <w:num w:numId="7">
    <w:abstractNumId w:val="1"/>
  </w:num>
  <w:num w:numId="8">
    <w:abstractNumId w:val="18"/>
  </w:num>
  <w:num w:numId="9">
    <w:abstractNumId w:val="38"/>
  </w:num>
  <w:num w:numId="10">
    <w:abstractNumId w:val="33"/>
  </w:num>
  <w:num w:numId="11">
    <w:abstractNumId w:val="10"/>
  </w:num>
  <w:num w:numId="12">
    <w:abstractNumId w:val="5"/>
  </w:num>
  <w:num w:numId="13">
    <w:abstractNumId w:val="37"/>
  </w:num>
  <w:num w:numId="14">
    <w:abstractNumId w:val="34"/>
  </w:num>
  <w:num w:numId="15">
    <w:abstractNumId w:val="17"/>
  </w:num>
  <w:num w:numId="16">
    <w:abstractNumId w:val="0"/>
  </w:num>
  <w:num w:numId="17">
    <w:abstractNumId w:val="24"/>
  </w:num>
  <w:num w:numId="18">
    <w:abstractNumId w:val="9"/>
  </w:num>
  <w:num w:numId="19">
    <w:abstractNumId w:val="28"/>
  </w:num>
  <w:num w:numId="20">
    <w:abstractNumId w:val="12"/>
  </w:num>
  <w:num w:numId="21">
    <w:abstractNumId w:val="14"/>
  </w:num>
  <w:num w:numId="22">
    <w:abstractNumId w:val="8"/>
  </w:num>
  <w:num w:numId="23">
    <w:abstractNumId w:val="32"/>
  </w:num>
  <w:num w:numId="24">
    <w:abstractNumId w:val="21"/>
  </w:num>
  <w:num w:numId="25">
    <w:abstractNumId w:val="35"/>
  </w:num>
  <w:num w:numId="26">
    <w:abstractNumId w:val="4"/>
  </w:num>
  <w:num w:numId="27">
    <w:abstractNumId w:val="6"/>
  </w:num>
  <w:num w:numId="28">
    <w:abstractNumId w:val="13"/>
  </w:num>
  <w:num w:numId="29">
    <w:abstractNumId w:val="11"/>
  </w:num>
  <w:num w:numId="30">
    <w:abstractNumId w:val="30"/>
  </w:num>
  <w:num w:numId="31">
    <w:abstractNumId w:val="31"/>
  </w:num>
  <w:num w:numId="32">
    <w:abstractNumId w:val="3"/>
  </w:num>
  <w:num w:numId="33">
    <w:abstractNumId w:val="36"/>
  </w:num>
  <w:num w:numId="34">
    <w:abstractNumId w:val="15"/>
  </w:num>
  <w:num w:numId="35">
    <w:abstractNumId w:val="2"/>
  </w:num>
  <w:num w:numId="36">
    <w:abstractNumId w:val="26"/>
  </w:num>
  <w:num w:numId="37">
    <w:abstractNumId w:val="19"/>
  </w:num>
  <w:num w:numId="38">
    <w:abstractNumId w:val="23"/>
  </w:num>
  <w:num w:numId="3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856EB"/>
    <w:rsid w:val="00095334"/>
    <w:rsid w:val="000B0D20"/>
    <w:rsid w:val="00100229"/>
    <w:rsid w:val="00121D66"/>
    <w:rsid w:val="001259C1"/>
    <w:rsid w:val="00131332"/>
    <w:rsid w:val="00134668"/>
    <w:rsid w:val="00152992"/>
    <w:rsid w:val="001543CD"/>
    <w:rsid w:val="001C4FA9"/>
    <w:rsid w:val="001E5DD5"/>
    <w:rsid w:val="00200E4A"/>
    <w:rsid w:val="00201E31"/>
    <w:rsid w:val="00214CFF"/>
    <w:rsid w:val="00216479"/>
    <w:rsid w:val="00221463"/>
    <w:rsid w:val="00243D4D"/>
    <w:rsid w:val="00251672"/>
    <w:rsid w:val="002666C9"/>
    <w:rsid w:val="00273DF6"/>
    <w:rsid w:val="002A2B42"/>
    <w:rsid w:val="002B19EE"/>
    <w:rsid w:val="002C639E"/>
    <w:rsid w:val="003040F9"/>
    <w:rsid w:val="00354137"/>
    <w:rsid w:val="003752C0"/>
    <w:rsid w:val="0039071A"/>
    <w:rsid w:val="00393F3A"/>
    <w:rsid w:val="003A76D7"/>
    <w:rsid w:val="003B5639"/>
    <w:rsid w:val="003B6CD4"/>
    <w:rsid w:val="003E4DFF"/>
    <w:rsid w:val="003F1349"/>
    <w:rsid w:val="003F6ED1"/>
    <w:rsid w:val="004038CF"/>
    <w:rsid w:val="00407110"/>
    <w:rsid w:val="00425178"/>
    <w:rsid w:val="004529F4"/>
    <w:rsid w:val="00453596"/>
    <w:rsid w:val="00490B6E"/>
    <w:rsid w:val="004D03AF"/>
    <w:rsid w:val="004D4882"/>
    <w:rsid w:val="005058F3"/>
    <w:rsid w:val="005219FA"/>
    <w:rsid w:val="0052231B"/>
    <w:rsid w:val="00553D71"/>
    <w:rsid w:val="00580CC0"/>
    <w:rsid w:val="005D516D"/>
    <w:rsid w:val="005E2AA2"/>
    <w:rsid w:val="005F7BF4"/>
    <w:rsid w:val="00614E8F"/>
    <w:rsid w:val="00655356"/>
    <w:rsid w:val="00675862"/>
    <w:rsid w:val="00684129"/>
    <w:rsid w:val="00690191"/>
    <w:rsid w:val="00696990"/>
    <w:rsid w:val="006B5391"/>
    <w:rsid w:val="006C103F"/>
    <w:rsid w:val="006C631D"/>
    <w:rsid w:val="00702AFC"/>
    <w:rsid w:val="00711C58"/>
    <w:rsid w:val="00716544"/>
    <w:rsid w:val="007244D3"/>
    <w:rsid w:val="00725A53"/>
    <w:rsid w:val="0075404E"/>
    <w:rsid w:val="00760A0C"/>
    <w:rsid w:val="007828BE"/>
    <w:rsid w:val="00783B9C"/>
    <w:rsid w:val="0079364A"/>
    <w:rsid w:val="007A10F8"/>
    <w:rsid w:val="007A7245"/>
    <w:rsid w:val="007B54B3"/>
    <w:rsid w:val="007C6F68"/>
    <w:rsid w:val="007F729E"/>
    <w:rsid w:val="008016FB"/>
    <w:rsid w:val="00854D4D"/>
    <w:rsid w:val="0086081A"/>
    <w:rsid w:val="00867853"/>
    <w:rsid w:val="008A5B5D"/>
    <w:rsid w:val="008A67C7"/>
    <w:rsid w:val="008D59FA"/>
    <w:rsid w:val="008D73A6"/>
    <w:rsid w:val="008E40A8"/>
    <w:rsid w:val="008F3F2D"/>
    <w:rsid w:val="00923BD4"/>
    <w:rsid w:val="009248E7"/>
    <w:rsid w:val="00925024"/>
    <w:rsid w:val="0094212D"/>
    <w:rsid w:val="00957F0E"/>
    <w:rsid w:val="00972982"/>
    <w:rsid w:val="0097472C"/>
    <w:rsid w:val="009C4F36"/>
    <w:rsid w:val="009D2035"/>
    <w:rsid w:val="009E3917"/>
    <w:rsid w:val="00A00644"/>
    <w:rsid w:val="00A04F09"/>
    <w:rsid w:val="00A054EF"/>
    <w:rsid w:val="00A17F36"/>
    <w:rsid w:val="00A34AC4"/>
    <w:rsid w:val="00A52D91"/>
    <w:rsid w:val="00A70B9C"/>
    <w:rsid w:val="00A762A2"/>
    <w:rsid w:val="00A81D8F"/>
    <w:rsid w:val="00A879D2"/>
    <w:rsid w:val="00A90F21"/>
    <w:rsid w:val="00AD2268"/>
    <w:rsid w:val="00AE007A"/>
    <w:rsid w:val="00AF2B4A"/>
    <w:rsid w:val="00B05438"/>
    <w:rsid w:val="00B20589"/>
    <w:rsid w:val="00B26164"/>
    <w:rsid w:val="00B337AE"/>
    <w:rsid w:val="00B617F1"/>
    <w:rsid w:val="00B84D27"/>
    <w:rsid w:val="00B924A3"/>
    <w:rsid w:val="00B93A0F"/>
    <w:rsid w:val="00BA0C42"/>
    <w:rsid w:val="00BC42B7"/>
    <w:rsid w:val="00C00105"/>
    <w:rsid w:val="00C00B1C"/>
    <w:rsid w:val="00C017C7"/>
    <w:rsid w:val="00C1635D"/>
    <w:rsid w:val="00C24608"/>
    <w:rsid w:val="00C34EA5"/>
    <w:rsid w:val="00C41295"/>
    <w:rsid w:val="00C57E3F"/>
    <w:rsid w:val="00C63F47"/>
    <w:rsid w:val="00C64B86"/>
    <w:rsid w:val="00C7268B"/>
    <w:rsid w:val="00C81BBE"/>
    <w:rsid w:val="00C8468A"/>
    <w:rsid w:val="00C9512C"/>
    <w:rsid w:val="00CC08C8"/>
    <w:rsid w:val="00CC4ADF"/>
    <w:rsid w:val="00CE7620"/>
    <w:rsid w:val="00D07749"/>
    <w:rsid w:val="00D17590"/>
    <w:rsid w:val="00D20328"/>
    <w:rsid w:val="00D27C26"/>
    <w:rsid w:val="00D6739F"/>
    <w:rsid w:val="00D71817"/>
    <w:rsid w:val="00D90C2A"/>
    <w:rsid w:val="00D93F71"/>
    <w:rsid w:val="00DA3DA9"/>
    <w:rsid w:val="00DC5A92"/>
    <w:rsid w:val="00DF2B42"/>
    <w:rsid w:val="00E10A35"/>
    <w:rsid w:val="00E163A8"/>
    <w:rsid w:val="00E42FF8"/>
    <w:rsid w:val="00E503AA"/>
    <w:rsid w:val="00E55970"/>
    <w:rsid w:val="00E65013"/>
    <w:rsid w:val="00E953A2"/>
    <w:rsid w:val="00EB6782"/>
    <w:rsid w:val="00ED60E2"/>
    <w:rsid w:val="00EE2DE8"/>
    <w:rsid w:val="00F0326A"/>
    <w:rsid w:val="00F2277A"/>
    <w:rsid w:val="00F41E30"/>
    <w:rsid w:val="00F502A2"/>
    <w:rsid w:val="00F57B75"/>
    <w:rsid w:val="00F910AF"/>
    <w:rsid w:val="00F97404"/>
    <w:rsid w:val="00FB1EE6"/>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6984-47B8-4CA9-9C32-6E5751FB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2012-07-16T08:37:00Z</cp:lastPrinted>
  <dcterms:created xsi:type="dcterms:W3CDTF">2015-03-03T10:43:00Z</dcterms:created>
  <dcterms:modified xsi:type="dcterms:W3CDTF">2015-03-03T10:43:00Z</dcterms:modified>
</cp:coreProperties>
</file>