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33" w:rsidRDefault="00173433" w:rsidP="00173433">
      <w:pPr>
        <w:bidi/>
        <w:jc w:val="both"/>
        <w:rPr>
          <w:rFonts w:ascii="Arial" w:eastAsia="MS Mincho" w:hAnsi="Arial"/>
          <w:b/>
          <w:bCs/>
          <w:sz w:val="24"/>
          <w:szCs w:val="24"/>
          <w:rtl/>
          <w:lang w:eastAsia="fr-FR" w:bidi="ar-TN"/>
        </w:rPr>
      </w:pPr>
    </w:p>
    <w:p w:rsidR="002E4E28" w:rsidRPr="00173433" w:rsidRDefault="00173433" w:rsidP="00173433">
      <w:pPr>
        <w:bidi/>
        <w:spacing w:after="0"/>
        <w:ind w:left="283"/>
        <w:jc w:val="both"/>
        <w:rPr>
          <w:rFonts w:ascii="Arial" w:eastAsia="MS Mincho" w:hAnsi="Arial" w:hint="cs"/>
          <w:b/>
          <w:bCs/>
          <w:sz w:val="24"/>
          <w:szCs w:val="24"/>
          <w:rtl/>
          <w:lang w:eastAsia="fr-FR" w:bidi="ar-TN"/>
        </w:rPr>
      </w:pPr>
      <w:bookmarkStart w:id="0" w:name="_GoBack"/>
      <w:r w:rsidRPr="00173433">
        <w:rPr>
          <w:rFonts w:ascii="Arial" w:eastAsia="MS Mincho" w:hAnsi="Arial" w:hint="cs"/>
          <w:b/>
          <w:bCs/>
          <w:sz w:val="24"/>
          <w:szCs w:val="24"/>
          <w:rtl/>
          <w:lang w:eastAsia="fr-FR" w:bidi="ar-TN"/>
        </w:rPr>
        <w:t>مقترح قانون</w:t>
      </w:r>
      <w:r>
        <w:rPr>
          <w:rFonts w:ascii="Arial" w:eastAsia="MS Mincho" w:hAnsi="Arial" w:hint="cs"/>
          <w:b/>
          <w:bCs/>
          <w:sz w:val="24"/>
          <w:szCs w:val="24"/>
          <w:rtl/>
          <w:lang w:eastAsia="fr-FR" w:bidi="ar-TN"/>
        </w:rPr>
        <w:t xml:space="preserve"> عدد 58/2016</w:t>
      </w:r>
      <w:r w:rsidRPr="00173433">
        <w:rPr>
          <w:rFonts w:ascii="Arial" w:eastAsia="MS Mincho" w:hAnsi="Arial" w:hint="cs"/>
          <w:b/>
          <w:bCs/>
          <w:sz w:val="24"/>
          <w:szCs w:val="24"/>
          <w:rtl/>
          <w:lang w:eastAsia="fr-FR" w:bidi="ar-TN"/>
        </w:rPr>
        <w:t xml:space="preserve"> يتعلق بتنقيح المجلة الجزائية </w:t>
      </w:r>
    </w:p>
    <w:p w:rsidR="00173433" w:rsidRDefault="00173433" w:rsidP="00173433">
      <w:pPr>
        <w:bidi/>
        <w:spacing w:after="0"/>
        <w:ind w:left="283"/>
        <w:jc w:val="both"/>
        <w:rPr>
          <w:rFonts w:ascii="Arial" w:eastAsia="MS Mincho" w:hAnsi="Arial"/>
          <w:b/>
          <w:bCs/>
          <w:rtl/>
          <w:lang w:eastAsia="fr-FR" w:bidi="ar-TN"/>
        </w:rPr>
      </w:pPr>
    </w:p>
    <w:p w:rsidR="00173433" w:rsidRDefault="00173433" w:rsidP="00173433">
      <w:pPr>
        <w:bidi/>
        <w:spacing w:after="0"/>
        <w:ind w:left="283"/>
        <w:jc w:val="both"/>
        <w:rPr>
          <w:rFonts w:ascii="Arial" w:eastAsia="MS Mincho" w:hAnsi="Arial"/>
          <w:b/>
          <w:bCs/>
          <w:rtl/>
          <w:lang w:eastAsia="fr-FR" w:bidi="ar-TN"/>
        </w:rPr>
      </w:pPr>
    </w:p>
    <w:p w:rsidR="00173433" w:rsidRPr="00173433" w:rsidRDefault="00173433" w:rsidP="00173433">
      <w:pPr>
        <w:bidi/>
        <w:spacing w:after="0"/>
        <w:ind w:left="283"/>
        <w:jc w:val="both"/>
        <w:rPr>
          <w:rFonts w:ascii="Arial" w:eastAsia="MS Mincho" w:hAnsi="Arial" w:hint="cs"/>
          <w:rtl/>
          <w:lang w:eastAsia="fr-FR" w:bidi="ar-TN"/>
        </w:rPr>
      </w:pPr>
      <w:r w:rsidRPr="00173433">
        <w:rPr>
          <w:rFonts w:ascii="Arial" w:eastAsia="MS Mincho" w:hAnsi="Arial" w:hint="cs"/>
          <w:b/>
          <w:bCs/>
          <w:rtl/>
          <w:lang w:eastAsia="fr-FR" w:bidi="ar-TN"/>
        </w:rPr>
        <w:t xml:space="preserve">الفصل الأول </w:t>
      </w:r>
      <w:r w:rsidRPr="00173433">
        <w:rPr>
          <w:rFonts w:ascii="Arial" w:eastAsia="MS Mincho" w:hAnsi="Arial"/>
          <w:b/>
          <w:bCs/>
          <w:rtl/>
          <w:lang w:eastAsia="fr-FR" w:bidi="ar-TN"/>
        </w:rPr>
        <w:t>–</w:t>
      </w:r>
      <w:r w:rsidRPr="00173433">
        <w:rPr>
          <w:rFonts w:ascii="Arial" w:eastAsia="MS Mincho" w:hAnsi="Arial" w:hint="cs"/>
          <w:rtl/>
          <w:lang w:eastAsia="fr-FR" w:bidi="ar-TN"/>
        </w:rPr>
        <w:t xml:space="preserve"> تضاف إلى أحكام المجلة الجزائية مطة 7 بالفقرة (أ) من الفصل 5 على النحو التالي: </w:t>
      </w:r>
    </w:p>
    <w:p w:rsidR="00173433" w:rsidRDefault="00173433" w:rsidP="00173433">
      <w:pPr>
        <w:bidi/>
        <w:spacing w:after="0"/>
        <w:ind w:left="283"/>
        <w:jc w:val="both"/>
        <w:rPr>
          <w:rFonts w:ascii="Arial" w:eastAsia="MS Mincho" w:hAnsi="Arial"/>
          <w:b/>
          <w:bCs/>
          <w:rtl/>
          <w:lang w:eastAsia="fr-FR" w:bidi="ar-TN"/>
        </w:rPr>
      </w:pPr>
    </w:p>
    <w:p w:rsidR="00173433" w:rsidRPr="00173433" w:rsidRDefault="00173433" w:rsidP="00173433">
      <w:pPr>
        <w:bidi/>
        <w:spacing w:after="0"/>
        <w:ind w:left="283"/>
        <w:jc w:val="both"/>
        <w:rPr>
          <w:rFonts w:ascii="Arial" w:eastAsia="MS Mincho" w:hAnsi="Arial" w:hint="cs"/>
          <w:b/>
          <w:bCs/>
          <w:rtl/>
          <w:lang w:eastAsia="fr-FR" w:bidi="ar-TN"/>
        </w:rPr>
      </w:pPr>
      <w:r>
        <w:rPr>
          <w:rFonts w:ascii="Arial" w:eastAsia="MS Mincho" w:hAnsi="Arial" w:hint="cs"/>
          <w:b/>
          <w:bCs/>
          <w:rtl/>
          <w:lang w:eastAsia="fr-FR" w:bidi="ar-TN"/>
        </w:rPr>
        <w:t xml:space="preserve">الفصل 5 الفقرة (أ) </w:t>
      </w:r>
      <w:r>
        <w:rPr>
          <w:rFonts w:ascii="Arial" w:eastAsia="MS Mincho" w:hAnsi="Arial"/>
          <w:b/>
          <w:bCs/>
          <w:rtl/>
          <w:lang w:eastAsia="fr-FR" w:bidi="ar-TN"/>
        </w:rPr>
        <w:t>–</w:t>
      </w:r>
      <w:r>
        <w:rPr>
          <w:rFonts w:ascii="Arial" w:eastAsia="MS Mincho" w:hAnsi="Arial" w:hint="cs"/>
          <w:b/>
          <w:bCs/>
          <w:rtl/>
          <w:lang w:eastAsia="fr-FR" w:bidi="ar-TN"/>
        </w:rPr>
        <w:t xml:space="preserve"> </w:t>
      </w:r>
      <w:r w:rsidRPr="00173433">
        <w:rPr>
          <w:rFonts w:ascii="Arial" w:eastAsia="MS Mincho" w:hAnsi="Arial" w:hint="cs"/>
          <w:b/>
          <w:bCs/>
          <w:rtl/>
          <w:lang w:eastAsia="fr-FR" w:bidi="ar-TN"/>
        </w:rPr>
        <w:t xml:space="preserve"> </w:t>
      </w:r>
    </w:p>
    <w:p w:rsidR="00173433" w:rsidRDefault="00173433" w:rsidP="00173433">
      <w:pPr>
        <w:bidi/>
        <w:spacing w:after="0"/>
        <w:ind w:left="283"/>
        <w:jc w:val="both"/>
        <w:rPr>
          <w:rFonts w:ascii="Arial" w:eastAsia="MS Mincho" w:hAnsi="Arial"/>
          <w:rtl/>
          <w:lang w:eastAsia="fr-FR" w:bidi="ar-TN"/>
        </w:rPr>
      </w:pPr>
      <w:r w:rsidRPr="00173433">
        <w:rPr>
          <w:rFonts w:ascii="Arial" w:eastAsia="MS Mincho" w:hAnsi="Arial" w:hint="cs"/>
          <w:rtl/>
          <w:lang w:eastAsia="fr-FR" w:bidi="ar-TN"/>
        </w:rPr>
        <w:t>7-</w:t>
      </w:r>
      <w:r>
        <w:rPr>
          <w:rFonts w:ascii="Arial" w:eastAsia="MS Mincho" w:hAnsi="Arial" w:hint="cs"/>
          <w:rtl/>
          <w:lang w:eastAsia="fr-FR" w:bidi="ar-TN"/>
        </w:rPr>
        <w:t xml:space="preserve"> الوضع تحت المراقبة الالكترونية.</w:t>
      </w:r>
    </w:p>
    <w:p w:rsidR="00173433" w:rsidRPr="00173433" w:rsidRDefault="00173433" w:rsidP="00173433">
      <w:pPr>
        <w:bidi/>
        <w:spacing w:after="0"/>
        <w:ind w:left="283"/>
        <w:jc w:val="both"/>
        <w:rPr>
          <w:rFonts w:ascii="Arial" w:eastAsia="MS Mincho" w:hAnsi="Arial" w:hint="cs"/>
          <w:rtl/>
          <w:lang w:eastAsia="fr-FR" w:bidi="ar-TN"/>
        </w:rPr>
      </w:pPr>
    </w:p>
    <w:p w:rsidR="00173433" w:rsidRPr="00173433" w:rsidRDefault="00173433" w:rsidP="00173433">
      <w:pPr>
        <w:bidi/>
        <w:spacing w:after="0"/>
        <w:ind w:left="283"/>
        <w:jc w:val="both"/>
        <w:rPr>
          <w:rFonts w:ascii="Arial" w:eastAsia="MS Mincho" w:hAnsi="Arial" w:hint="cs"/>
          <w:rtl/>
          <w:lang w:eastAsia="fr-FR" w:bidi="ar-TN"/>
        </w:rPr>
      </w:pPr>
      <w:r w:rsidRPr="00173433">
        <w:rPr>
          <w:rFonts w:ascii="Arial" w:eastAsia="MS Mincho" w:hAnsi="Arial" w:hint="cs"/>
          <w:b/>
          <w:bCs/>
          <w:rtl/>
          <w:lang w:eastAsia="fr-FR" w:bidi="ar-TN"/>
        </w:rPr>
        <w:t xml:space="preserve">الفصل 2 </w:t>
      </w:r>
      <w:r w:rsidRPr="00173433">
        <w:rPr>
          <w:rFonts w:ascii="Arial" w:eastAsia="MS Mincho" w:hAnsi="Arial"/>
          <w:b/>
          <w:bCs/>
          <w:rtl/>
          <w:lang w:eastAsia="fr-FR" w:bidi="ar-TN"/>
        </w:rPr>
        <w:t>–</w:t>
      </w:r>
      <w:r w:rsidRPr="00173433">
        <w:rPr>
          <w:rFonts w:ascii="Arial" w:eastAsia="MS Mincho" w:hAnsi="Arial" w:hint="cs"/>
          <w:rtl/>
          <w:lang w:eastAsia="fr-FR" w:bidi="ar-TN"/>
        </w:rPr>
        <w:t xml:space="preserve"> يضاف الفصلين 15 خامسا و15 سادسا إلى المجلة الجزائية على النحو التالي: </w:t>
      </w:r>
    </w:p>
    <w:p w:rsidR="00173433" w:rsidRDefault="00173433" w:rsidP="00173433">
      <w:pPr>
        <w:bidi/>
        <w:spacing w:after="0"/>
        <w:ind w:left="283"/>
        <w:jc w:val="both"/>
        <w:rPr>
          <w:rFonts w:ascii="Arial" w:eastAsia="MS Mincho" w:hAnsi="Arial"/>
          <w:rtl/>
          <w:lang w:eastAsia="fr-FR" w:bidi="ar-TN"/>
        </w:rPr>
      </w:pPr>
    </w:p>
    <w:p w:rsidR="00173433" w:rsidRDefault="00173433" w:rsidP="00173433">
      <w:pPr>
        <w:bidi/>
        <w:spacing w:after="0"/>
        <w:ind w:left="283"/>
        <w:jc w:val="both"/>
        <w:rPr>
          <w:rFonts w:ascii="Arial" w:eastAsia="MS Mincho" w:hAnsi="Arial"/>
          <w:rtl/>
          <w:lang w:eastAsia="fr-FR" w:bidi="ar-TN"/>
        </w:rPr>
      </w:pPr>
      <w:r w:rsidRPr="00173433">
        <w:rPr>
          <w:rFonts w:ascii="Arial" w:eastAsia="MS Mincho" w:hAnsi="Arial" w:hint="cs"/>
          <w:b/>
          <w:bCs/>
          <w:rtl/>
          <w:lang w:eastAsia="fr-FR" w:bidi="ar-TN"/>
        </w:rPr>
        <w:t xml:space="preserve">الفصل 15 خامسا </w:t>
      </w:r>
      <w:r w:rsidRPr="00173433">
        <w:rPr>
          <w:rFonts w:ascii="Arial" w:eastAsia="MS Mincho" w:hAnsi="Arial"/>
          <w:b/>
          <w:bCs/>
          <w:rtl/>
          <w:lang w:eastAsia="fr-FR" w:bidi="ar-TN"/>
        </w:rPr>
        <w:t>–</w:t>
      </w:r>
      <w:r w:rsidRPr="00173433">
        <w:rPr>
          <w:rFonts w:ascii="Arial" w:eastAsia="MS Mincho" w:hAnsi="Arial" w:hint="cs"/>
          <w:rtl/>
          <w:lang w:eastAsia="fr-FR" w:bidi="ar-TN"/>
        </w:rPr>
        <w:t xml:space="preserve"> للمحكمة إذا قضت بالسجن النافذ لمدة أقصاها سنتين أو سنة بالنسبة للعائد أن تستبدل بنفس الحكم تلك العقوبة بعقوبة الوضع تحت المراقبة الالكترونية وذلك لنفس المدة المحكوم بها بالسجن النافذ."</w:t>
      </w:r>
    </w:p>
    <w:p w:rsidR="00173433" w:rsidRDefault="00173433" w:rsidP="00173433">
      <w:pPr>
        <w:bidi/>
        <w:spacing w:after="0"/>
        <w:ind w:left="283"/>
        <w:jc w:val="both"/>
        <w:rPr>
          <w:rFonts w:ascii="Arial" w:eastAsia="MS Mincho" w:hAnsi="Arial"/>
          <w:rtl/>
          <w:lang w:eastAsia="fr-FR" w:bidi="ar-TN"/>
        </w:rPr>
      </w:pPr>
    </w:p>
    <w:p w:rsidR="00173433" w:rsidRDefault="00173433" w:rsidP="00173433">
      <w:pPr>
        <w:bidi/>
        <w:spacing w:after="0"/>
        <w:ind w:left="283"/>
        <w:jc w:val="both"/>
        <w:rPr>
          <w:rFonts w:ascii="Arial" w:eastAsia="MS Mincho" w:hAnsi="Arial" w:hint="cs"/>
          <w:rtl/>
          <w:lang w:eastAsia="fr-FR" w:bidi="ar-TN"/>
        </w:rPr>
      </w:pPr>
      <w:r w:rsidRPr="00173433">
        <w:rPr>
          <w:rFonts w:ascii="Arial" w:eastAsia="MS Mincho" w:hAnsi="Arial" w:hint="cs"/>
          <w:b/>
          <w:bCs/>
          <w:rtl/>
          <w:lang w:eastAsia="fr-FR" w:bidi="ar-TN"/>
        </w:rPr>
        <w:t xml:space="preserve">الفصل 15 سادسا </w:t>
      </w:r>
      <w:r w:rsidRPr="00173433">
        <w:rPr>
          <w:rFonts w:ascii="Arial" w:eastAsia="MS Mincho" w:hAnsi="Arial"/>
          <w:b/>
          <w:bCs/>
          <w:rtl/>
          <w:lang w:eastAsia="fr-FR" w:bidi="ar-TN"/>
        </w:rPr>
        <w:t>–</w:t>
      </w:r>
      <w:r>
        <w:rPr>
          <w:rFonts w:ascii="Arial" w:eastAsia="MS Mincho" w:hAnsi="Arial" w:hint="cs"/>
          <w:rtl/>
          <w:lang w:eastAsia="fr-FR" w:bidi="ar-TN"/>
        </w:rPr>
        <w:t xml:space="preserve"> تتمثل عقوبة الوضع تحت المراقبة الإلكترونية في تثبيت سوار إلكتروني على جسم المحكوم عليه، يتصل مباشرة بجهاز إلكتروني مركزي يوجد لدى السلطة القضائية المعنية ويسمح لقاضي تنفيذ العقوبات تتبع خطوات الجاني ومعرفة مكان وجوده وبالتالي تضعه في وضع لا يدع له مجالا لممارسة حريته إلا داخل المجال الذي يحدده له القضاء.</w:t>
      </w:r>
    </w:p>
    <w:p w:rsidR="00173433" w:rsidRDefault="00173433" w:rsidP="00173433">
      <w:pPr>
        <w:bidi/>
        <w:spacing w:before="120" w:after="0"/>
        <w:ind w:left="283"/>
        <w:jc w:val="both"/>
        <w:rPr>
          <w:rFonts w:ascii="Arial" w:eastAsia="MS Mincho" w:hAnsi="Arial" w:hint="cs"/>
          <w:rtl/>
          <w:lang w:eastAsia="fr-FR" w:bidi="ar-TN"/>
        </w:rPr>
      </w:pPr>
      <w:r>
        <w:rPr>
          <w:rFonts w:ascii="Arial" w:eastAsia="MS Mincho" w:hAnsi="Arial" w:hint="cs"/>
          <w:rtl/>
          <w:lang w:eastAsia="fr-FR" w:bidi="ar-TN"/>
        </w:rPr>
        <w:t>يقع الحكم بهذه العقوبة بطلب من المعني مع تحمله تكلفة السوار الإلكتروني.</w:t>
      </w:r>
    </w:p>
    <w:p w:rsidR="00173433" w:rsidRPr="00173433" w:rsidRDefault="00173433" w:rsidP="00173433">
      <w:pPr>
        <w:bidi/>
        <w:spacing w:before="120" w:after="0"/>
        <w:ind w:left="283"/>
        <w:jc w:val="both"/>
        <w:rPr>
          <w:rFonts w:ascii="Arial" w:hAnsi="Arial"/>
          <w:sz w:val="20"/>
          <w:szCs w:val="20"/>
          <w:lang w:bidi="ar-TN"/>
        </w:rPr>
      </w:pPr>
      <w:r>
        <w:rPr>
          <w:rFonts w:ascii="Arial" w:eastAsia="MS Mincho" w:hAnsi="Arial" w:hint="cs"/>
          <w:rtl/>
          <w:lang w:eastAsia="fr-FR" w:bidi="ar-TN"/>
        </w:rPr>
        <w:t>وفي صورة عدم التزامه بمقتضيات الحكم يقع ال</w:t>
      </w:r>
      <w:r w:rsidR="00275388">
        <w:rPr>
          <w:rFonts w:ascii="Arial" w:eastAsia="MS Mincho" w:hAnsi="Arial" w:hint="cs"/>
          <w:rtl/>
          <w:lang w:eastAsia="fr-FR" w:bidi="ar-TN"/>
        </w:rPr>
        <w:t>رجوع إلى العقوبة السجنية في المد</w:t>
      </w:r>
      <w:r>
        <w:rPr>
          <w:rFonts w:ascii="Arial" w:eastAsia="MS Mincho" w:hAnsi="Arial" w:hint="cs"/>
          <w:rtl/>
          <w:lang w:eastAsia="fr-FR" w:bidi="ar-TN"/>
        </w:rPr>
        <w:t>دة المتبقية</w:t>
      </w:r>
      <w:bookmarkEnd w:id="0"/>
      <w:r>
        <w:rPr>
          <w:rFonts w:ascii="Arial" w:eastAsia="MS Mincho" w:hAnsi="Arial" w:hint="cs"/>
          <w:rtl/>
          <w:lang w:eastAsia="fr-FR" w:bidi="ar-TN"/>
        </w:rPr>
        <w:t>.</w:t>
      </w:r>
    </w:p>
    <w:sectPr w:rsidR="00173433" w:rsidRPr="00173433"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B0F" w:rsidRDefault="003C2B0F">
      <w:pPr>
        <w:spacing w:after="0" w:line="240" w:lineRule="auto"/>
      </w:pPr>
      <w:r>
        <w:separator/>
      </w:r>
    </w:p>
  </w:endnote>
  <w:endnote w:type="continuationSeparator" w:id="0">
    <w:p w:rsidR="003C2B0F" w:rsidRDefault="003C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73433">
                            <w:rPr>
                              <w:rFonts w:ascii="Arial" w:hAnsi="Arial"/>
                              <w:noProof/>
                              <w:sz w:val="18"/>
                              <w:szCs w:val="18"/>
                            </w:rPr>
                            <w:t>2</w:t>
                          </w:r>
                          <w:r w:rsidRPr="001E5DD5">
                            <w:rPr>
                              <w:rFonts w:ascii="Arial" w:hAnsi="Arial"/>
                              <w:noProof/>
                              <w:sz w:val="18"/>
                              <w:szCs w:val="18"/>
                            </w:rPr>
                            <w:fldChar w:fldCharType="end"/>
                          </w:r>
                        </w:p>
                        <w:p w:rsidR="00A34AD0" w:rsidRDefault="003C2B0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73433">
                      <w:rPr>
                        <w:rFonts w:ascii="Arial" w:hAnsi="Arial"/>
                        <w:noProof/>
                        <w:sz w:val="18"/>
                        <w:szCs w:val="18"/>
                      </w:rPr>
                      <w:t>2</w:t>
                    </w:r>
                    <w:r w:rsidRPr="001E5DD5">
                      <w:rPr>
                        <w:rFonts w:ascii="Arial" w:hAnsi="Arial"/>
                        <w:noProof/>
                        <w:sz w:val="18"/>
                        <w:szCs w:val="18"/>
                      </w:rPr>
                      <w:fldChar w:fldCharType="end"/>
                    </w:r>
                  </w:p>
                  <w:p w:rsidR="00A34AD0" w:rsidRDefault="003C2B0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C2B0F">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C2B0F">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C2B0F">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C2B0F">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B0F" w:rsidRDefault="003C2B0F">
      <w:pPr>
        <w:spacing w:after="0" w:line="240" w:lineRule="auto"/>
      </w:pPr>
      <w:r>
        <w:separator/>
      </w:r>
    </w:p>
  </w:footnote>
  <w:footnote w:type="continuationSeparator" w:id="0">
    <w:p w:rsidR="003C2B0F" w:rsidRDefault="003C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3C2B0F"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3C2B0F"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3C2B0F"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3C2B0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3C2B0F"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3C2B0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33"/>
    <w:rsid w:val="00173433"/>
    <w:rsid w:val="00182C27"/>
    <w:rsid w:val="00275388"/>
    <w:rsid w:val="003C2B0F"/>
    <w:rsid w:val="004F2FE7"/>
    <w:rsid w:val="005A6D96"/>
    <w:rsid w:val="006E651F"/>
    <w:rsid w:val="007943CF"/>
    <w:rsid w:val="008D0D57"/>
    <w:rsid w:val="00A050EA"/>
    <w:rsid w:val="00AA7E95"/>
    <w:rsid w:val="00AF5773"/>
    <w:rsid w:val="00BC16DA"/>
    <w:rsid w:val="00C547E8"/>
    <w:rsid w:val="00CF74DC"/>
    <w:rsid w:val="00D37C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6FBF4"/>
  <w15:chartTrackingRefBased/>
  <w15:docId w15:val="{9026559B-776A-43B8-9BA5-50069021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12</TotalTime>
  <Pages>1</Pages>
  <Words>150</Words>
  <Characters>827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dc:creator>
  <cp:keywords/>
  <dc:description/>
  <cp:lastModifiedBy>ALIA</cp:lastModifiedBy>
  <cp:revision>1</cp:revision>
  <dcterms:created xsi:type="dcterms:W3CDTF">2017-08-04T13:12:00Z</dcterms:created>
  <dcterms:modified xsi:type="dcterms:W3CDTF">2017-08-04T13:24:00Z</dcterms:modified>
</cp:coreProperties>
</file>