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F9F2A" w14:textId="1723ACF6" w:rsidR="00811FBC" w:rsidRPr="00811FBC" w:rsidRDefault="00811FBC" w:rsidP="00811FBC">
      <w:pPr>
        <w:bidi/>
        <w:spacing w:before="120" w:after="0" w:line="240" w:lineRule="auto"/>
        <w:ind w:left="284"/>
        <w:jc w:val="both"/>
        <w:rPr>
          <w:rFonts w:ascii="Arial" w:hAnsi="Arial" w:cs="Arial" w:hint="cs"/>
          <w:b/>
          <w:bCs/>
          <w:sz w:val="24"/>
          <w:szCs w:val="24"/>
          <w:rtl/>
          <w:lang w:bidi="ar-TN"/>
        </w:rPr>
      </w:pPr>
      <w:r w:rsidRPr="00811FBC">
        <w:rPr>
          <w:rFonts w:ascii="Arial" w:hAnsi="Arial" w:cs="Arial"/>
          <w:b/>
          <w:bCs/>
          <w:sz w:val="24"/>
          <w:szCs w:val="24"/>
          <w:rtl/>
        </w:rPr>
        <w:t xml:space="preserve">أمر حكومي عدد 62 لسنة 2021 مؤرخ في 21 جانفي 2021 يتعلق بإتمام الأمر عدد 511 لسنة 1974 المؤرخ في 27 </w:t>
      </w:r>
      <w:proofErr w:type="spellStart"/>
      <w:r w:rsidRPr="00811FBC">
        <w:rPr>
          <w:rFonts w:ascii="Arial" w:hAnsi="Arial" w:cs="Arial"/>
          <w:b/>
          <w:bCs/>
          <w:sz w:val="24"/>
          <w:szCs w:val="24"/>
          <w:rtl/>
        </w:rPr>
        <w:t>أفريل</w:t>
      </w:r>
      <w:proofErr w:type="spellEnd"/>
      <w:r w:rsidRPr="00811FBC">
        <w:rPr>
          <w:rFonts w:ascii="Arial" w:hAnsi="Arial" w:cs="Arial"/>
          <w:b/>
          <w:bCs/>
          <w:sz w:val="24"/>
          <w:szCs w:val="24"/>
          <w:rtl/>
        </w:rPr>
        <w:t xml:space="preserve"> 1974 المتعلق بضبط مقادير منحة الإنتاج المخولة للأعوان التابعين للدولة والجماعات العمومية المحلية والمؤسسات العمومية ذات الصبغة الإدارية</w:t>
      </w:r>
    </w:p>
    <w:p w14:paraId="4649C927" w14:textId="77777777" w:rsidR="00811FBC" w:rsidRPr="00811FBC" w:rsidRDefault="00811FBC" w:rsidP="00811FBC">
      <w:pPr>
        <w:bidi/>
        <w:spacing w:before="120" w:after="0" w:line="240" w:lineRule="auto"/>
        <w:ind w:left="284"/>
        <w:jc w:val="both"/>
        <w:rPr>
          <w:rFonts w:ascii="Arial" w:hAnsi="Arial" w:cs="Arial"/>
          <w:rtl/>
        </w:rPr>
      </w:pPr>
    </w:p>
    <w:p w14:paraId="17B6AE2B" w14:textId="77777777" w:rsidR="00811FBC" w:rsidRPr="00811FBC" w:rsidRDefault="00811FBC" w:rsidP="00811FBC">
      <w:pPr>
        <w:bidi/>
        <w:spacing w:before="120" w:after="0" w:line="240" w:lineRule="auto"/>
        <w:ind w:left="284"/>
        <w:jc w:val="both"/>
        <w:rPr>
          <w:rFonts w:ascii="Arial" w:hAnsi="Arial" w:cs="Arial"/>
          <w:rtl/>
        </w:rPr>
      </w:pPr>
      <w:r w:rsidRPr="00811FBC">
        <w:rPr>
          <w:rFonts w:ascii="Arial" w:hAnsi="Arial" w:cs="Arial"/>
          <w:rtl/>
        </w:rPr>
        <w:t>إن رئيس الحكومة،</w:t>
      </w:r>
    </w:p>
    <w:p w14:paraId="753166B6" w14:textId="4EAF1E9A" w:rsidR="00811FBC" w:rsidRPr="00811FBC" w:rsidRDefault="00811FBC" w:rsidP="00811FBC">
      <w:pPr>
        <w:bidi/>
        <w:spacing w:before="120" w:after="0" w:line="240" w:lineRule="auto"/>
        <w:ind w:left="284"/>
        <w:jc w:val="both"/>
        <w:rPr>
          <w:rFonts w:ascii="Arial" w:hAnsi="Arial" w:cs="Arial"/>
          <w:rtl/>
        </w:rPr>
      </w:pPr>
      <w:r w:rsidRPr="00811FBC">
        <w:rPr>
          <w:rFonts w:ascii="Arial" w:hAnsi="Arial" w:cs="Arial"/>
          <w:rtl/>
        </w:rPr>
        <w:t>باقتراح من الوزيرة لدى رئيس الحكومة المكلفة بالوظيفة العمومية،</w:t>
      </w:r>
    </w:p>
    <w:p w14:paraId="033E3FCB" w14:textId="77777777" w:rsidR="00811FBC" w:rsidRPr="00811FBC" w:rsidRDefault="00811FBC" w:rsidP="00811FBC">
      <w:pPr>
        <w:bidi/>
        <w:spacing w:before="120" w:after="0" w:line="240" w:lineRule="auto"/>
        <w:ind w:left="284"/>
        <w:jc w:val="both"/>
        <w:rPr>
          <w:rFonts w:ascii="Arial" w:hAnsi="Arial" w:cs="Arial"/>
          <w:rtl/>
        </w:rPr>
      </w:pPr>
      <w:r w:rsidRPr="00811FBC">
        <w:rPr>
          <w:rFonts w:ascii="Arial" w:hAnsi="Arial" w:cs="Arial"/>
          <w:rtl/>
        </w:rPr>
        <w:t>بعد الاطلاع على الدستور،</w:t>
      </w:r>
    </w:p>
    <w:p w14:paraId="61D8D516" w14:textId="77777777" w:rsidR="00811FBC" w:rsidRPr="00811FBC" w:rsidRDefault="00811FBC" w:rsidP="00811FBC">
      <w:pPr>
        <w:bidi/>
        <w:spacing w:before="120" w:after="0" w:line="240" w:lineRule="auto"/>
        <w:ind w:left="284"/>
        <w:jc w:val="both"/>
        <w:rPr>
          <w:rFonts w:ascii="Arial" w:hAnsi="Arial" w:cs="Arial"/>
          <w:rtl/>
        </w:rPr>
      </w:pPr>
      <w:r w:rsidRPr="00811FBC">
        <w:rPr>
          <w:rFonts w:ascii="Arial" w:hAnsi="Arial" w:cs="Arial"/>
          <w:rtl/>
        </w:rPr>
        <w:t>وعلى القانون الأساسي عدد 11 لسنة 1989 المؤرخ في 4 فيفري 1989 المتعلق بالمجالس الجهوية وعلى جميع النصوص التي نقحته أو تممته وخاصة القانون الأساسي عدد 119 لسنة 1993 المؤرخ في 27 ديسمبر 1993،</w:t>
      </w:r>
    </w:p>
    <w:p w14:paraId="2BFC0D07" w14:textId="77777777" w:rsidR="00811FBC" w:rsidRPr="00811FBC" w:rsidRDefault="00811FBC" w:rsidP="00811FBC">
      <w:pPr>
        <w:bidi/>
        <w:spacing w:before="120" w:after="0" w:line="240" w:lineRule="auto"/>
        <w:ind w:left="284"/>
        <w:jc w:val="both"/>
        <w:rPr>
          <w:rFonts w:ascii="Arial" w:hAnsi="Arial" w:cs="Arial"/>
          <w:rtl/>
        </w:rPr>
      </w:pPr>
      <w:r w:rsidRPr="00811FBC">
        <w:rPr>
          <w:rFonts w:ascii="Arial" w:hAnsi="Arial" w:cs="Arial"/>
          <w:rtl/>
        </w:rPr>
        <w:t>وعلى القانون الأساسي عدد 29 لسنة 2018 المؤرخ في 9 ماي 2018 المتعلق بمجلة الجماعات المحلية،</w:t>
      </w:r>
    </w:p>
    <w:p w14:paraId="4EF6B95A" w14:textId="77777777" w:rsidR="00811FBC" w:rsidRPr="00811FBC" w:rsidRDefault="00811FBC" w:rsidP="00811FBC">
      <w:pPr>
        <w:bidi/>
        <w:spacing w:before="120" w:after="0" w:line="240" w:lineRule="auto"/>
        <w:ind w:left="284"/>
        <w:jc w:val="both"/>
        <w:rPr>
          <w:rFonts w:ascii="Arial" w:hAnsi="Arial" w:cs="Arial"/>
          <w:rtl/>
        </w:rPr>
      </w:pPr>
      <w:r w:rsidRPr="00811FBC">
        <w:rPr>
          <w:rFonts w:ascii="Arial" w:hAnsi="Arial" w:cs="Arial"/>
          <w:rtl/>
        </w:rPr>
        <w:t>وعلى مجلة المحاسبة العمومية الصادرة بمقتضى القانون عدد 81 لسنة 1973 المؤرخ في 31 ديسمبر 1973، وعلى جميع النصوص التي نقحتها أو تممتها،</w:t>
      </w:r>
    </w:p>
    <w:p w14:paraId="0CA2B756" w14:textId="77777777" w:rsidR="00811FBC" w:rsidRPr="00811FBC" w:rsidRDefault="00811FBC" w:rsidP="00811FBC">
      <w:pPr>
        <w:bidi/>
        <w:spacing w:before="120" w:after="0" w:line="240" w:lineRule="auto"/>
        <w:ind w:left="284"/>
        <w:jc w:val="both"/>
        <w:rPr>
          <w:rFonts w:ascii="Arial" w:hAnsi="Arial" w:cs="Arial"/>
          <w:rtl/>
        </w:rPr>
      </w:pPr>
      <w:r w:rsidRPr="00811FBC">
        <w:rPr>
          <w:rFonts w:ascii="Arial" w:hAnsi="Arial" w:cs="Arial"/>
          <w:rtl/>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2011،</w:t>
      </w:r>
    </w:p>
    <w:p w14:paraId="5863312F" w14:textId="77777777" w:rsidR="00811FBC" w:rsidRPr="00811FBC" w:rsidRDefault="00811FBC" w:rsidP="00811FBC">
      <w:pPr>
        <w:bidi/>
        <w:spacing w:before="120" w:after="0" w:line="240" w:lineRule="auto"/>
        <w:ind w:left="284"/>
        <w:jc w:val="both"/>
        <w:rPr>
          <w:rFonts w:ascii="Arial" w:hAnsi="Arial" w:cs="Arial"/>
          <w:rtl/>
        </w:rPr>
      </w:pPr>
      <w:r w:rsidRPr="00811FBC">
        <w:rPr>
          <w:rFonts w:ascii="Arial" w:hAnsi="Arial" w:cs="Arial"/>
          <w:rtl/>
        </w:rPr>
        <w:t xml:space="preserve">وعلى القانون عدد 12 لسنة 1985 المؤرخ في 5 مارس 1985 المتعلق بنظام الجرايات المدنية والعسكرية للتقاعد والباقين على قيد الحياة في القطاع العمومي، وعلى جميع النصوص التي نقحته أو تممته وخاصة القانون عدد 37 لسنة 2019 المؤرخ في 30 </w:t>
      </w:r>
      <w:proofErr w:type="spellStart"/>
      <w:r w:rsidRPr="00811FBC">
        <w:rPr>
          <w:rFonts w:ascii="Arial" w:hAnsi="Arial" w:cs="Arial"/>
          <w:rtl/>
        </w:rPr>
        <w:t>أفريل</w:t>
      </w:r>
      <w:proofErr w:type="spellEnd"/>
      <w:r w:rsidRPr="00811FBC">
        <w:rPr>
          <w:rFonts w:ascii="Arial" w:hAnsi="Arial" w:cs="Arial"/>
          <w:rtl/>
        </w:rPr>
        <w:t xml:space="preserve"> 2019،</w:t>
      </w:r>
    </w:p>
    <w:p w14:paraId="1613A6E3" w14:textId="77777777" w:rsidR="00811FBC" w:rsidRPr="00811FBC" w:rsidRDefault="00811FBC" w:rsidP="00811FBC">
      <w:pPr>
        <w:bidi/>
        <w:spacing w:before="120" w:after="0" w:line="240" w:lineRule="auto"/>
        <w:ind w:left="284"/>
        <w:jc w:val="both"/>
        <w:rPr>
          <w:rFonts w:ascii="Arial" w:hAnsi="Arial" w:cs="Arial"/>
          <w:rtl/>
        </w:rPr>
      </w:pPr>
      <w:r w:rsidRPr="00811FBC">
        <w:rPr>
          <w:rFonts w:ascii="Arial" w:hAnsi="Arial" w:cs="Arial"/>
          <w:rtl/>
        </w:rPr>
        <w:t>وعلى القانون عدد 114 لسنة 1989 المؤرخ في 30 ديسمبر 1989 المتعلق بإصدار مجلة الضريبة على دخل الأشخاص الطبيعيين والضريبة على الشركات، وعلى جميع النصوص التي نقحته أو تممته،</w:t>
      </w:r>
    </w:p>
    <w:p w14:paraId="1F4292B4" w14:textId="77777777" w:rsidR="00811FBC" w:rsidRPr="00811FBC" w:rsidRDefault="00811FBC" w:rsidP="00811FBC">
      <w:pPr>
        <w:bidi/>
        <w:spacing w:before="120" w:after="0" w:line="240" w:lineRule="auto"/>
        <w:ind w:left="284"/>
        <w:jc w:val="both"/>
        <w:rPr>
          <w:rFonts w:ascii="Arial" w:hAnsi="Arial" w:cs="Arial"/>
          <w:rtl/>
        </w:rPr>
      </w:pPr>
      <w:r w:rsidRPr="00811FBC">
        <w:rPr>
          <w:rFonts w:ascii="Arial" w:hAnsi="Arial" w:cs="Arial"/>
          <w:rtl/>
        </w:rPr>
        <w:t xml:space="preserve">وعلى الأمر عدد 511 لسنة 1974 المؤرخ في 27 </w:t>
      </w:r>
      <w:proofErr w:type="spellStart"/>
      <w:r w:rsidRPr="00811FBC">
        <w:rPr>
          <w:rFonts w:ascii="Arial" w:hAnsi="Arial" w:cs="Arial"/>
          <w:rtl/>
        </w:rPr>
        <w:t>أفريل</w:t>
      </w:r>
      <w:proofErr w:type="spellEnd"/>
      <w:r w:rsidRPr="00811FBC">
        <w:rPr>
          <w:rFonts w:ascii="Arial" w:hAnsi="Arial" w:cs="Arial"/>
          <w:rtl/>
        </w:rPr>
        <w:t xml:space="preserve"> 1974 المتعلق بضبط مقادير منحة الإنتاج المخولة للأعوان التابعين للدولة والجماعات العمومية المحلية والمؤسسات العمومية ذات الصبغة الإدارية،</w:t>
      </w:r>
    </w:p>
    <w:p w14:paraId="7C30E8AD" w14:textId="77777777" w:rsidR="00811FBC" w:rsidRPr="00811FBC" w:rsidRDefault="00811FBC" w:rsidP="00811FBC">
      <w:pPr>
        <w:bidi/>
        <w:spacing w:before="120" w:after="0" w:line="240" w:lineRule="auto"/>
        <w:ind w:left="284"/>
        <w:jc w:val="both"/>
        <w:rPr>
          <w:rFonts w:ascii="Arial" w:hAnsi="Arial" w:cs="Arial"/>
          <w:rtl/>
        </w:rPr>
      </w:pPr>
      <w:r w:rsidRPr="00811FBC">
        <w:rPr>
          <w:rFonts w:ascii="Arial" w:hAnsi="Arial" w:cs="Arial"/>
          <w:rtl/>
        </w:rPr>
        <w:t>وعلى الأمر عدد 187 لسنة 1988 المؤرخ في 11 فيفري 1988 المتعلق بتحديد مقادير وشروط إسناد منحة الإنتاج لأعوان الدولة والجماعات العمومية المحلية والمؤسسات العمومية ذات الصبغة الإدارية وعلى جميع النصوص التي نقحته أو تممته وخاصة الأمر عدد 1061 لسنة 1990 المؤرخ في 18 جوان 1990،</w:t>
      </w:r>
    </w:p>
    <w:p w14:paraId="76E67042" w14:textId="77777777" w:rsidR="00811FBC" w:rsidRPr="00811FBC" w:rsidRDefault="00811FBC" w:rsidP="00811FBC">
      <w:pPr>
        <w:bidi/>
        <w:spacing w:before="120" w:after="0" w:line="240" w:lineRule="auto"/>
        <w:ind w:left="284"/>
        <w:jc w:val="both"/>
        <w:rPr>
          <w:rFonts w:ascii="Arial" w:hAnsi="Arial" w:cs="Arial"/>
          <w:rtl/>
        </w:rPr>
      </w:pPr>
      <w:r w:rsidRPr="00811FBC">
        <w:rPr>
          <w:rFonts w:ascii="Arial" w:hAnsi="Arial" w:cs="Arial"/>
          <w:rtl/>
        </w:rPr>
        <w:t>وعلى الأمر الحكومي عدد 115 لسنة 2020 المؤرخ في 25 فيفري 2020 المتعلق بضبط النظام الأساسي الخاص بالسلك الإداري المشترك للإدارات العمومية،</w:t>
      </w:r>
    </w:p>
    <w:p w14:paraId="614B17F1" w14:textId="77777777" w:rsidR="00811FBC" w:rsidRPr="00811FBC" w:rsidRDefault="00811FBC" w:rsidP="00811FBC">
      <w:pPr>
        <w:bidi/>
        <w:spacing w:before="120" w:after="0" w:line="240" w:lineRule="auto"/>
        <w:ind w:left="284"/>
        <w:jc w:val="both"/>
        <w:rPr>
          <w:rFonts w:ascii="Arial" w:hAnsi="Arial" w:cs="Arial"/>
          <w:rtl/>
        </w:rPr>
      </w:pPr>
      <w:r w:rsidRPr="00811FBC">
        <w:rPr>
          <w:rFonts w:ascii="Arial" w:hAnsi="Arial" w:cs="Arial"/>
          <w:rtl/>
        </w:rPr>
        <w:t>وعلى الأمر الحكومي عدد 116 لسنة 2020 المؤرخ في 25 فيفري 2020 المتعلق بضبط المطابقة بين درجات رتب السلك الإداري المشترك للإدارات العمومية ومستويات التأجير،</w:t>
      </w:r>
    </w:p>
    <w:p w14:paraId="414E179F" w14:textId="77777777" w:rsidR="00811FBC" w:rsidRPr="00811FBC" w:rsidRDefault="00811FBC" w:rsidP="00811FBC">
      <w:pPr>
        <w:bidi/>
        <w:spacing w:before="120" w:after="0" w:line="240" w:lineRule="auto"/>
        <w:ind w:left="284"/>
        <w:jc w:val="both"/>
        <w:rPr>
          <w:rFonts w:ascii="Arial" w:hAnsi="Arial" w:cs="Arial"/>
          <w:rtl/>
        </w:rPr>
      </w:pPr>
      <w:r w:rsidRPr="00811FBC">
        <w:rPr>
          <w:rFonts w:ascii="Arial" w:hAnsi="Arial" w:cs="Arial"/>
          <w:rtl/>
        </w:rPr>
        <w:t>وعلى الأمر الرئاسي عدد 84 لسنة 2020 المؤرخ في 2 سبتمبر 2020 المتعلق بتسمية رئيس الحكومة وأعضائها،</w:t>
      </w:r>
    </w:p>
    <w:p w14:paraId="01867591" w14:textId="77777777" w:rsidR="00811FBC" w:rsidRPr="00811FBC" w:rsidRDefault="00811FBC" w:rsidP="00811FBC">
      <w:pPr>
        <w:bidi/>
        <w:spacing w:before="120" w:after="0" w:line="240" w:lineRule="auto"/>
        <w:ind w:left="284"/>
        <w:jc w:val="both"/>
        <w:rPr>
          <w:rFonts w:ascii="Arial" w:hAnsi="Arial" w:cs="Arial"/>
          <w:rtl/>
        </w:rPr>
      </w:pPr>
      <w:r w:rsidRPr="00811FBC">
        <w:rPr>
          <w:rFonts w:ascii="Arial" w:hAnsi="Arial" w:cs="Arial"/>
          <w:rtl/>
        </w:rPr>
        <w:t>وعلى رأي وزير الاقتصاد والمالية ودعم الاستثمار،</w:t>
      </w:r>
    </w:p>
    <w:p w14:paraId="54E6FC53" w14:textId="77777777" w:rsidR="00811FBC" w:rsidRPr="00811FBC" w:rsidRDefault="00811FBC" w:rsidP="00811FBC">
      <w:pPr>
        <w:bidi/>
        <w:spacing w:before="120" w:after="0" w:line="240" w:lineRule="auto"/>
        <w:ind w:left="284"/>
        <w:jc w:val="both"/>
        <w:rPr>
          <w:rFonts w:ascii="Arial" w:hAnsi="Arial" w:cs="Arial"/>
          <w:rtl/>
        </w:rPr>
      </w:pPr>
      <w:r w:rsidRPr="00811FBC">
        <w:rPr>
          <w:rFonts w:ascii="Arial" w:hAnsi="Arial" w:cs="Arial"/>
          <w:rtl/>
        </w:rPr>
        <w:t>وعلى رأي المحكمة الإدارية</w:t>
      </w:r>
      <w:r w:rsidRPr="00811FBC">
        <w:rPr>
          <w:rFonts w:ascii="Arial" w:hAnsi="Arial" w:cs="Arial"/>
        </w:rPr>
        <w:t>.</w:t>
      </w:r>
    </w:p>
    <w:p w14:paraId="68CFDC5B" w14:textId="77777777" w:rsidR="00811FBC" w:rsidRPr="00811FBC" w:rsidRDefault="00811FBC" w:rsidP="00811FBC">
      <w:pPr>
        <w:bidi/>
        <w:spacing w:before="120" w:after="0" w:line="240" w:lineRule="auto"/>
        <w:ind w:left="284"/>
        <w:jc w:val="both"/>
        <w:rPr>
          <w:rFonts w:ascii="Arial" w:hAnsi="Arial" w:cs="Arial"/>
          <w:rtl/>
        </w:rPr>
      </w:pPr>
      <w:r w:rsidRPr="00811FBC">
        <w:rPr>
          <w:rFonts w:ascii="Arial" w:hAnsi="Arial" w:cs="Arial"/>
          <w:rtl/>
        </w:rPr>
        <w:t>يصدر الأمر الحكومي الآتي نصه</w:t>
      </w:r>
      <w:r w:rsidRPr="00811FBC">
        <w:rPr>
          <w:rFonts w:ascii="Arial" w:hAnsi="Arial" w:cs="Arial"/>
        </w:rPr>
        <w:t>:</w:t>
      </w:r>
    </w:p>
    <w:p w14:paraId="4BD257CE" w14:textId="7EC3EFE0" w:rsidR="00811FBC" w:rsidRPr="00811FBC" w:rsidRDefault="00811FBC" w:rsidP="00811FBC">
      <w:pPr>
        <w:bidi/>
        <w:spacing w:before="120" w:after="0" w:line="240" w:lineRule="auto"/>
        <w:ind w:left="284"/>
        <w:jc w:val="both"/>
        <w:rPr>
          <w:rFonts w:ascii="Arial" w:hAnsi="Arial" w:cs="Arial"/>
          <w:rtl/>
        </w:rPr>
      </w:pPr>
      <w:r w:rsidRPr="00811FBC">
        <w:rPr>
          <w:rFonts w:ascii="Arial" w:hAnsi="Arial" w:cs="Arial"/>
          <w:b/>
          <w:bCs/>
          <w:rtl/>
        </w:rPr>
        <w:t>الفصل الأول</w:t>
      </w:r>
      <w:r>
        <w:rPr>
          <w:rFonts w:ascii="Arial" w:hAnsi="Arial" w:cs="Arial" w:hint="cs"/>
          <w:rtl/>
        </w:rPr>
        <w:t xml:space="preserve"> </w:t>
      </w:r>
      <w:r>
        <w:rPr>
          <w:rFonts w:ascii="Arial" w:hAnsi="Arial" w:cs="Arial"/>
          <w:rtl/>
        </w:rPr>
        <w:t>–</w:t>
      </w:r>
      <w:r>
        <w:rPr>
          <w:rFonts w:ascii="Arial" w:hAnsi="Arial" w:cs="Arial" w:hint="cs"/>
          <w:rtl/>
        </w:rPr>
        <w:t xml:space="preserve"> </w:t>
      </w:r>
      <w:r w:rsidRPr="00811FBC">
        <w:rPr>
          <w:rFonts w:ascii="Arial" w:hAnsi="Arial" w:cs="Arial"/>
          <w:rtl/>
        </w:rPr>
        <w:t xml:space="preserve">يضاف إلى الجدول الوارد بالفصل 2 (فقرة أ ـ الموظفون الرسميون) من الأمر عدد 511 لسنة 1974 المؤرخ في 27 </w:t>
      </w:r>
      <w:proofErr w:type="spellStart"/>
      <w:r w:rsidRPr="00811FBC">
        <w:rPr>
          <w:rFonts w:ascii="Arial" w:hAnsi="Arial" w:cs="Arial"/>
          <w:rtl/>
        </w:rPr>
        <w:t>أفريل</w:t>
      </w:r>
      <w:proofErr w:type="spellEnd"/>
      <w:r w:rsidRPr="00811FBC">
        <w:rPr>
          <w:rFonts w:ascii="Arial" w:hAnsi="Arial" w:cs="Arial"/>
          <w:rtl/>
        </w:rPr>
        <w:t xml:space="preserve"> 1974 المشار إليه أعلاه، البيانات التالية</w:t>
      </w:r>
      <w:r w:rsidRPr="00811FBC">
        <w:rPr>
          <w:rFonts w:ascii="Arial" w:hAnsi="Arial" w:cs="Arial"/>
        </w:rPr>
        <w:t>:</w:t>
      </w:r>
    </w:p>
    <w:p w14:paraId="66485B4F" w14:textId="4D6DECA4" w:rsidR="00811FBC" w:rsidRDefault="00811FBC" w:rsidP="00811FBC">
      <w:pPr>
        <w:bidi/>
        <w:spacing w:before="120" w:after="0" w:line="240" w:lineRule="auto"/>
        <w:ind w:left="284"/>
        <w:jc w:val="both"/>
        <w:rPr>
          <w:rFonts w:ascii="Arial" w:hAnsi="Arial" w:cs="Arial"/>
          <w:b/>
          <w:bCs/>
          <w:rtl/>
        </w:rPr>
      </w:pPr>
      <w:r w:rsidRPr="00811FBC">
        <w:rPr>
          <w:rFonts w:ascii="Arial" w:hAnsi="Arial" w:cs="Arial"/>
          <w:b/>
          <w:bCs/>
          <w:rtl/>
        </w:rPr>
        <w:t>أ ـ الموظفون الرسميون</w:t>
      </w:r>
      <w:r w:rsidRPr="00811FBC">
        <w:rPr>
          <w:rFonts w:ascii="Arial" w:hAnsi="Arial" w:cs="Arial"/>
          <w:b/>
          <w:bCs/>
        </w:rPr>
        <w:t>:</w:t>
      </w:r>
    </w:p>
    <w:p w14:paraId="0D1C2DB1" w14:textId="77777777" w:rsidR="00811FBC" w:rsidRPr="00811FBC" w:rsidRDefault="00811FBC" w:rsidP="00811FBC">
      <w:pPr>
        <w:bidi/>
        <w:spacing w:before="120" w:after="0" w:line="240" w:lineRule="auto"/>
        <w:ind w:left="284"/>
        <w:jc w:val="both"/>
        <w:rPr>
          <w:rFonts w:ascii="Arial" w:hAnsi="Arial" w:cs="Arial"/>
          <w:b/>
          <w:bCs/>
          <w:rtl/>
        </w:rPr>
      </w:pPr>
    </w:p>
    <w:tbl>
      <w:tblPr>
        <w:tblStyle w:val="Grilledutableau"/>
        <w:bidiVisual/>
        <w:tblW w:w="9210" w:type="dxa"/>
        <w:tblInd w:w="565" w:type="dxa"/>
        <w:tblLook w:val="04A0" w:firstRow="1" w:lastRow="0" w:firstColumn="1" w:lastColumn="0" w:noHBand="0" w:noVBand="1"/>
      </w:tblPr>
      <w:tblGrid>
        <w:gridCol w:w="3543"/>
        <w:gridCol w:w="2406"/>
        <w:gridCol w:w="3261"/>
      </w:tblGrid>
      <w:tr w:rsidR="00811FBC" w14:paraId="1467A7D4" w14:textId="77777777" w:rsidTr="00811FBC">
        <w:tc>
          <w:tcPr>
            <w:tcW w:w="3543" w:type="dxa"/>
          </w:tcPr>
          <w:p w14:paraId="01A4D07F" w14:textId="56D3221A" w:rsidR="00811FBC" w:rsidRPr="00811FBC" w:rsidRDefault="00811FBC" w:rsidP="00811FBC">
            <w:pPr>
              <w:bidi/>
              <w:spacing w:before="120" w:after="0" w:line="240" w:lineRule="auto"/>
              <w:jc w:val="center"/>
              <w:rPr>
                <w:rFonts w:ascii="Arial" w:hAnsi="Arial" w:cs="Arial"/>
                <w:b/>
                <w:bCs/>
                <w:rtl/>
              </w:rPr>
            </w:pPr>
            <w:r w:rsidRPr="00811FBC">
              <w:rPr>
                <w:rFonts w:ascii="Arial" w:hAnsi="Arial" w:cs="Arial"/>
                <w:b/>
                <w:bCs/>
                <w:rtl/>
              </w:rPr>
              <w:t>الرتب</w:t>
            </w:r>
            <w:r w:rsidRPr="00811FBC">
              <w:rPr>
                <w:rFonts w:hint="cs"/>
                <w:b/>
                <w:bCs/>
                <w:rtl/>
              </w:rPr>
              <w:t xml:space="preserve"> </w:t>
            </w:r>
            <w:r w:rsidRPr="00811FBC">
              <w:rPr>
                <w:rFonts w:ascii="Arial" w:hAnsi="Arial" w:cs="Arial" w:hint="cs"/>
                <w:b/>
                <w:bCs/>
                <w:rtl/>
              </w:rPr>
              <w:t>والخطة</w:t>
            </w:r>
          </w:p>
        </w:tc>
        <w:tc>
          <w:tcPr>
            <w:tcW w:w="2406" w:type="dxa"/>
          </w:tcPr>
          <w:p w14:paraId="2ADF4086" w14:textId="250891FE" w:rsidR="00811FBC" w:rsidRPr="00811FBC" w:rsidRDefault="00811FBC" w:rsidP="00811FBC">
            <w:pPr>
              <w:bidi/>
              <w:spacing w:before="120" w:after="0" w:line="240" w:lineRule="auto"/>
              <w:jc w:val="center"/>
              <w:rPr>
                <w:rFonts w:ascii="Arial" w:hAnsi="Arial" w:cs="Arial"/>
                <w:b/>
                <w:bCs/>
                <w:rtl/>
              </w:rPr>
            </w:pPr>
            <w:r w:rsidRPr="00811FBC">
              <w:rPr>
                <w:rFonts w:ascii="Arial" w:hAnsi="Arial" w:cs="Arial"/>
                <w:b/>
                <w:bCs/>
                <w:rtl/>
              </w:rPr>
              <w:t>المقدار السنوي</w:t>
            </w:r>
          </w:p>
        </w:tc>
        <w:tc>
          <w:tcPr>
            <w:tcW w:w="3261" w:type="dxa"/>
          </w:tcPr>
          <w:p w14:paraId="51BB2AD9" w14:textId="51D600D7" w:rsidR="00811FBC" w:rsidRPr="00811FBC" w:rsidRDefault="00811FBC" w:rsidP="00811FBC">
            <w:pPr>
              <w:bidi/>
              <w:spacing w:before="120" w:after="0" w:line="240" w:lineRule="auto"/>
              <w:jc w:val="center"/>
              <w:rPr>
                <w:rFonts w:ascii="Arial" w:hAnsi="Arial" w:cs="Arial"/>
                <w:b/>
                <w:bCs/>
                <w:rtl/>
              </w:rPr>
            </w:pPr>
            <w:r w:rsidRPr="00811FBC">
              <w:rPr>
                <w:rFonts w:ascii="Arial" w:hAnsi="Arial" w:cs="Arial" w:hint="cs"/>
                <w:b/>
                <w:bCs/>
                <w:rtl/>
              </w:rPr>
              <w:t>الملاحظات</w:t>
            </w:r>
          </w:p>
        </w:tc>
      </w:tr>
      <w:tr w:rsidR="00811FBC" w14:paraId="40BA2EF6" w14:textId="77777777" w:rsidTr="00811FBC">
        <w:tc>
          <w:tcPr>
            <w:tcW w:w="3543" w:type="dxa"/>
          </w:tcPr>
          <w:p w14:paraId="0E71995F" w14:textId="6841AA0E" w:rsidR="00811FBC" w:rsidRPr="00811FBC" w:rsidRDefault="00811FBC" w:rsidP="00811FBC">
            <w:pPr>
              <w:bidi/>
              <w:spacing w:before="120" w:after="0" w:line="240" w:lineRule="auto"/>
              <w:jc w:val="both"/>
              <w:rPr>
                <w:rFonts w:ascii="Arial" w:hAnsi="Arial" w:cs="Arial"/>
                <w:rtl/>
              </w:rPr>
            </w:pPr>
            <w:r w:rsidRPr="00811FBC">
              <w:rPr>
                <w:rFonts w:ascii="Arial" w:hAnsi="Arial" w:cs="Arial"/>
                <w:rtl/>
              </w:rPr>
              <w:t>متصرف عام من الصنف الأعلى والخطط المماثلة من الإطارات الخاصة</w:t>
            </w:r>
            <w:r w:rsidRPr="00811FBC">
              <w:rPr>
                <w:rFonts w:ascii="Arial" w:hAnsi="Arial" w:cs="Arial"/>
              </w:rPr>
              <w:t xml:space="preserve"> (I)...........</w:t>
            </w:r>
          </w:p>
          <w:p w14:paraId="679E3BD7" w14:textId="50004B0E" w:rsidR="00811FBC" w:rsidRDefault="00811FBC" w:rsidP="00811FBC">
            <w:pPr>
              <w:bidi/>
              <w:spacing w:before="120" w:after="0" w:line="240" w:lineRule="auto"/>
              <w:jc w:val="both"/>
              <w:rPr>
                <w:rFonts w:ascii="Arial" w:hAnsi="Arial" w:cs="Arial"/>
                <w:rtl/>
              </w:rPr>
            </w:pPr>
            <w:r w:rsidRPr="00811FBC">
              <w:rPr>
                <w:rFonts w:ascii="Arial" w:hAnsi="Arial" w:cs="Arial"/>
                <w:rtl/>
              </w:rPr>
              <w:t>(البقية بدون تغيير)</w:t>
            </w:r>
          </w:p>
        </w:tc>
        <w:tc>
          <w:tcPr>
            <w:tcW w:w="2406" w:type="dxa"/>
          </w:tcPr>
          <w:p w14:paraId="567D7888" w14:textId="77777777" w:rsidR="00811FBC" w:rsidRDefault="00811FBC" w:rsidP="00811FBC">
            <w:pPr>
              <w:bidi/>
              <w:spacing w:before="120" w:after="0" w:line="240" w:lineRule="auto"/>
              <w:jc w:val="center"/>
              <w:rPr>
                <w:rFonts w:ascii="Arial" w:hAnsi="Arial" w:cs="Arial"/>
                <w:rtl/>
              </w:rPr>
            </w:pPr>
            <w:r w:rsidRPr="00811FBC">
              <w:rPr>
                <w:rFonts w:ascii="Arial" w:hAnsi="Arial" w:cs="Arial"/>
                <w:rtl/>
              </w:rPr>
              <w:t xml:space="preserve">1600 </w:t>
            </w:r>
            <w:r w:rsidRPr="00811FBC">
              <w:rPr>
                <w:rFonts w:ascii="Arial" w:hAnsi="Arial" w:cs="Arial" w:hint="cs"/>
                <w:rtl/>
              </w:rPr>
              <w:t>دينارا</w:t>
            </w:r>
          </w:p>
          <w:p w14:paraId="66D346F3" w14:textId="3A25C82F" w:rsidR="00811FBC" w:rsidRDefault="00811FBC" w:rsidP="00811FBC">
            <w:pPr>
              <w:bidi/>
              <w:spacing w:before="120" w:after="0" w:line="240" w:lineRule="auto"/>
              <w:jc w:val="both"/>
              <w:rPr>
                <w:rFonts w:ascii="Arial" w:hAnsi="Arial" w:cs="Arial"/>
                <w:rtl/>
              </w:rPr>
            </w:pPr>
            <w:r w:rsidRPr="00811FBC">
              <w:rPr>
                <w:rFonts w:ascii="Arial" w:hAnsi="Arial" w:cs="Arial"/>
                <w:rtl/>
              </w:rPr>
              <w:t>(</w:t>
            </w:r>
            <w:r w:rsidRPr="00811FBC">
              <w:rPr>
                <w:rFonts w:ascii="Arial" w:hAnsi="Arial" w:cs="Arial" w:hint="cs"/>
                <w:rtl/>
              </w:rPr>
              <w:t>البقية</w:t>
            </w:r>
            <w:r w:rsidRPr="00811FBC">
              <w:rPr>
                <w:rFonts w:ascii="Arial" w:hAnsi="Arial" w:cs="Arial"/>
                <w:rtl/>
              </w:rPr>
              <w:t xml:space="preserve"> </w:t>
            </w:r>
            <w:r w:rsidRPr="00811FBC">
              <w:rPr>
                <w:rFonts w:ascii="Arial" w:hAnsi="Arial" w:cs="Arial" w:hint="cs"/>
                <w:rtl/>
              </w:rPr>
              <w:t>بدون</w:t>
            </w:r>
            <w:r w:rsidRPr="00811FBC">
              <w:rPr>
                <w:rFonts w:ascii="Arial" w:hAnsi="Arial" w:cs="Arial"/>
                <w:rtl/>
              </w:rPr>
              <w:t xml:space="preserve"> </w:t>
            </w:r>
            <w:r w:rsidRPr="00811FBC">
              <w:rPr>
                <w:rFonts w:ascii="Arial" w:hAnsi="Arial" w:cs="Arial" w:hint="cs"/>
                <w:rtl/>
              </w:rPr>
              <w:t>تغيير</w:t>
            </w:r>
            <w:r w:rsidRPr="00811FBC">
              <w:rPr>
                <w:rFonts w:ascii="Arial" w:hAnsi="Arial" w:cs="Arial"/>
                <w:rtl/>
              </w:rPr>
              <w:t>)</w:t>
            </w:r>
          </w:p>
          <w:p w14:paraId="3C6AA06A" w14:textId="555CDE91" w:rsidR="00811FBC" w:rsidRDefault="00811FBC" w:rsidP="00811FBC">
            <w:pPr>
              <w:bidi/>
              <w:spacing w:before="120" w:after="0" w:line="240" w:lineRule="auto"/>
              <w:jc w:val="both"/>
              <w:rPr>
                <w:rFonts w:ascii="Arial" w:hAnsi="Arial" w:cs="Arial"/>
                <w:rtl/>
              </w:rPr>
            </w:pPr>
          </w:p>
        </w:tc>
        <w:tc>
          <w:tcPr>
            <w:tcW w:w="3261" w:type="dxa"/>
          </w:tcPr>
          <w:p w14:paraId="6198DF44" w14:textId="1698354E" w:rsidR="00811FBC" w:rsidRDefault="00811FBC" w:rsidP="00811FBC">
            <w:pPr>
              <w:bidi/>
              <w:spacing w:before="120" w:after="0" w:line="240" w:lineRule="auto"/>
              <w:jc w:val="both"/>
              <w:rPr>
                <w:rFonts w:ascii="Arial" w:hAnsi="Arial" w:cs="Arial"/>
                <w:rtl/>
              </w:rPr>
            </w:pPr>
            <w:r w:rsidRPr="00811FBC">
              <w:rPr>
                <w:rFonts w:ascii="Arial" w:hAnsi="Arial" w:cs="Arial"/>
                <w:rtl/>
              </w:rPr>
              <w:t>(</w:t>
            </w:r>
            <w:r w:rsidRPr="00811FBC">
              <w:rPr>
                <w:rFonts w:ascii="Arial" w:hAnsi="Arial" w:cs="Arial"/>
              </w:rPr>
              <w:t>I</w:t>
            </w:r>
            <w:r w:rsidRPr="00811FBC">
              <w:rPr>
                <w:rFonts w:ascii="Arial" w:hAnsi="Arial" w:cs="Arial"/>
                <w:rtl/>
              </w:rPr>
              <w:t xml:space="preserve">) </w:t>
            </w:r>
            <w:r w:rsidRPr="00811FBC">
              <w:rPr>
                <w:rFonts w:ascii="Arial" w:hAnsi="Arial" w:cs="Arial" w:hint="cs"/>
                <w:rtl/>
              </w:rPr>
              <w:t>يضبط</w:t>
            </w:r>
            <w:r w:rsidRPr="00811FBC">
              <w:rPr>
                <w:rFonts w:ascii="Arial" w:hAnsi="Arial" w:cs="Arial"/>
                <w:rtl/>
              </w:rPr>
              <w:t xml:space="preserve"> </w:t>
            </w:r>
            <w:r w:rsidRPr="00811FBC">
              <w:rPr>
                <w:rFonts w:ascii="Arial" w:hAnsi="Arial" w:cs="Arial" w:hint="cs"/>
                <w:rtl/>
              </w:rPr>
              <w:t>قرار</w:t>
            </w:r>
            <w:r w:rsidRPr="00811FBC">
              <w:rPr>
                <w:rFonts w:ascii="Arial" w:hAnsi="Arial" w:cs="Arial"/>
                <w:rtl/>
              </w:rPr>
              <w:t xml:space="preserve"> </w:t>
            </w:r>
            <w:r w:rsidRPr="00811FBC">
              <w:rPr>
                <w:rFonts w:ascii="Arial" w:hAnsi="Arial" w:cs="Arial" w:hint="cs"/>
                <w:rtl/>
              </w:rPr>
              <w:t>من</w:t>
            </w:r>
            <w:r w:rsidRPr="00811FBC">
              <w:rPr>
                <w:rFonts w:ascii="Arial" w:hAnsi="Arial" w:cs="Arial"/>
                <w:rtl/>
              </w:rPr>
              <w:t xml:space="preserve"> </w:t>
            </w:r>
            <w:r w:rsidRPr="00811FBC">
              <w:rPr>
                <w:rFonts w:ascii="Arial" w:hAnsi="Arial" w:cs="Arial" w:hint="cs"/>
                <w:rtl/>
              </w:rPr>
              <w:t>رئيس</w:t>
            </w:r>
            <w:r w:rsidRPr="00811FBC">
              <w:rPr>
                <w:rFonts w:ascii="Arial" w:hAnsi="Arial" w:cs="Arial"/>
                <w:rtl/>
              </w:rPr>
              <w:t xml:space="preserve"> </w:t>
            </w:r>
            <w:r w:rsidRPr="00811FBC">
              <w:rPr>
                <w:rFonts w:ascii="Arial" w:hAnsi="Arial" w:cs="Arial" w:hint="cs"/>
                <w:rtl/>
              </w:rPr>
              <w:t>الحكومة</w:t>
            </w:r>
            <w:r w:rsidRPr="00811FBC">
              <w:rPr>
                <w:rFonts w:ascii="Arial" w:hAnsi="Arial" w:cs="Arial"/>
                <w:rtl/>
              </w:rPr>
              <w:t xml:space="preserve"> </w:t>
            </w:r>
            <w:r w:rsidRPr="00811FBC">
              <w:rPr>
                <w:rFonts w:ascii="Arial" w:hAnsi="Arial" w:cs="Arial" w:hint="cs"/>
                <w:rtl/>
              </w:rPr>
              <w:t>المماثلة</w:t>
            </w:r>
            <w:r w:rsidRPr="00811FBC">
              <w:rPr>
                <w:rFonts w:ascii="Arial" w:hAnsi="Arial" w:cs="Arial"/>
                <w:rtl/>
              </w:rPr>
              <w:t xml:space="preserve"> </w:t>
            </w:r>
            <w:r w:rsidRPr="00811FBC">
              <w:rPr>
                <w:rFonts w:ascii="Arial" w:hAnsi="Arial" w:cs="Arial" w:hint="cs"/>
                <w:rtl/>
              </w:rPr>
              <w:t>بين</w:t>
            </w:r>
            <w:r w:rsidRPr="00811FBC">
              <w:rPr>
                <w:rFonts w:ascii="Arial" w:hAnsi="Arial" w:cs="Arial"/>
                <w:rtl/>
              </w:rPr>
              <w:t xml:space="preserve"> </w:t>
            </w:r>
            <w:r w:rsidRPr="00811FBC">
              <w:rPr>
                <w:rFonts w:ascii="Arial" w:hAnsi="Arial" w:cs="Arial" w:hint="cs"/>
                <w:rtl/>
              </w:rPr>
              <w:t>رتب</w:t>
            </w:r>
            <w:r w:rsidRPr="00811FBC">
              <w:rPr>
                <w:rFonts w:ascii="Arial" w:hAnsi="Arial" w:cs="Arial"/>
                <w:rtl/>
              </w:rPr>
              <w:t xml:space="preserve"> </w:t>
            </w:r>
            <w:r w:rsidRPr="00811FBC">
              <w:rPr>
                <w:rFonts w:ascii="Arial" w:hAnsi="Arial" w:cs="Arial" w:hint="cs"/>
                <w:rtl/>
              </w:rPr>
              <w:t>الإطارات</w:t>
            </w:r>
            <w:r w:rsidRPr="00811FBC">
              <w:rPr>
                <w:rFonts w:ascii="Arial" w:hAnsi="Arial" w:cs="Arial"/>
                <w:rtl/>
              </w:rPr>
              <w:t xml:space="preserve"> </w:t>
            </w:r>
            <w:r w:rsidRPr="00811FBC">
              <w:rPr>
                <w:rFonts w:ascii="Arial" w:hAnsi="Arial" w:cs="Arial" w:hint="cs"/>
                <w:rtl/>
              </w:rPr>
              <w:t>المشتركة</w:t>
            </w:r>
            <w:r w:rsidRPr="00811FBC">
              <w:rPr>
                <w:rFonts w:ascii="Arial" w:hAnsi="Arial" w:cs="Arial"/>
                <w:rtl/>
              </w:rPr>
              <w:t xml:space="preserve"> </w:t>
            </w:r>
            <w:r w:rsidRPr="00811FBC">
              <w:rPr>
                <w:rFonts w:ascii="Arial" w:hAnsi="Arial" w:cs="Arial" w:hint="cs"/>
                <w:rtl/>
              </w:rPr>
              <w:t>ورتب</w:t>
            </w:r>
            <w:r w:rsidRPr="00811FBC">
              <w:rPr>
                <w:rFonts w:ascii="Arial" w:hAnsi="Arial" w:cs="Arial"/>
                <w:rtl/>
              </w:rPr>
              <w:t xml:space="preserve"> </w:t>
            </w:r>
            <w:r w:rsidRPr="00811FBC">
              <w:rPr>
                <w:rFonts w:ascii="Arial" w:hAnsi="Arial" w:cs="Arial" w:hint="cs"/>
                <w:rtl/>
              </w:rPr>
              <w:t>الإطارات</w:t>
            </w:r>
            <w:r w:rsidRPr="00811FBC">
              <w:rPr>
                <w:rFonts w:ascii="Arial" w:hAnsi="Arial" w:cs="Arial"/>
                <w:rtl/>
              </w:rPr>
              <w:t xml:space="preserve"> </w:t>
            </w:r>
            <w:r w:rsidRPr="00811FBC">
              <w:rPr>
                <w:rFonts w:ascii="Arial" w:hAnsi="Arial" w:cs="Arial" w:hint="cs"/>
                <w:rtl/>
              </w:rPr>
              <w:t>الخاصة</w:t>
            </w:r>
          </w:p>
        </w:tc>
      </w:tr>
    </w:tbl>
    <w:p w14:paraId="2EC578F4" w14:textId="618E3FFB" w:rsidR="00811FBC" w:rsidRPr="00811FBC" w:rsidRDefault="00811FBC" w:rsidP="00811FBC">
      <w:pPr>
        <w:bidi/>
        <w:spacing w:before="120" w:after="0" w:line="240" w:lineRule="auto"/>
        <w:ind w:left="284"/>
        <w:jc w:val="both"/>
        <w:rPr>
          <w:rFonts w:ascii="Arial" w:hAnsi="Arial" w:cs="Arial"/>
          <w:rtl/>
        </w:rPr>
      </w:pPr>
      <w:r w:rsidRPr="00811FBC">
        <w:rPr>
          <w:rFonts w:ascii="Arial" w:hAnsi="Arial" w:cs="Arial"/>
          <w:b/>
          <w:bCs/>
          <w:rtl/>
        </w:rPr>
        <w:lastRenderedPageBreak/>
        <w:t>الفصل 2</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811FBC">
        <w:rPr>
          <w:rFonts w:ascii="Arial" w:hAnsi="Arial" w:cs="Arial"/>
          <w:rtl/>
        </w:rPr>
        <w:t>الوزيرة لدى رئيس الحكومة المكلفة بالوظيفة العمومية مكلفة بتنفيذ هذا الأمر الحكومي الذي ينشر بالرائد الرسمي للجمهورية التونسية</w:t>
      </w:r>
      <w:r w:rsidRPr="00811FBC">
        <w:rPr>
          <w:rFonts w:ascii="Arial" w:hAnsi="Arial" w:cs="Arial"/>
        </w:rPr>
        <w:t>.</w:t>
      </w:r>
    </w:p>
    <w:p w14:paraId="5924E060" w14:textId="77777777" w:rsidR="00811FBC" w:rsidRPr="00811FBC" w:rsidRDefault="00811FBC" w:rsidP="00811FBC">
      <w:pPr>
        <w:bidi/>
        <w:spacing w:before="120" w:after="0" w:line="240" w:lineRule="auto"/>
        <w:ind w:left="284"/>
        <w:jc w:val="both"/>
        <w:rPr>
          <w:rFonts w:ascii="Arial" w:hAnsi="Arial" w:cs="Arial"/>
          <w:b/>
          <w:bCs/>
          <w:rtl/>
        </w:rPr>
      </w:pPr>
      <w:r w:rsidRPr="00811FBC">
        <w:rPr>
          <w:rFonts w:ascii="Arial" w:hAnsi="Arial" w:cs="Arial"/>
          <w:b/>
          <w:bCs/>
          <w:rtl/>
        </w:rPr>
        <w:t>تونس في 21 جانفي 2021</w:t>
      </w:r>
      <w:r w:rsidRPr="00811FBC">
        <w:rPr>
          <w:rFonts w:ascii="Arial" w:hAnsi="Arial" w:cs="Arial"/>
          <w:b/>
          <w:bCs/>
        </w:rPr>
        <w:t>.</w:t>
      </w:r>
    </w:p>
    <w:p w14:paraId="76C0B297" w14:textId="77777777" w:rsidR="00811FBC" w:rsidRPr="00811FBC" w:rsidRDefault="00811FBC" w:rsidP="00811FBC">
      <w:pPr>
        <w:bidi/>
        <w:spacing w:before="120" w:after="0" w:line="240" w:lineRule="auto"/>
        <w:ind w:left="284"/>
        <w:jc w:val="both"/>
        <w:rPr>
          <w:rFonts w:ascii="Arial" w:hAnsi="Arial" w:cs="Arial"/>
          <w:b/>
          <w:bCs/>
          <w:rtl/>
        </w:rPr>
      </w:pPr>
    </w:p>
    <w:p w14:paraId="1B91C7C8" w14:textId="2A51BABD" w:rsidR="0060160F" w:rsidRPr="00811FBC" w:rsidRDefault="0060160F" w:rsidP="00811FBC">
      <w:pPr>
        <w:bidi/>
        <w:spacing w:before="120" w:after="0" w:line="240" w:lineRule="auto"/>
        <w:ind w:left="284"/>
        <w:jc w:val="both"/>
        <w:rPr>
          <w:rFonts w:ascii="Arial" w:hAnsi="Arial" w:cs="Arial"/>
        </w:rPr>
      </w:pPr>
    </w:p>
    <w:sectPr w:rsidR="0060160F" w:rsidRPr="00811FBC"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3A267" w14:textId="77777777" w:rsidR="003A1B47" w:rsidRDefault="003A1B47" w:rsidP="008F3F2D">
      <w:r>
        <w:separator/>
      </w:r>
    </w:p>
  </w:endnote>
  <w:endnote w:type="continuationSeparator" w:id="0">
    <w:p w14:paraId="44124557" w14:textId="77777777" w:rsidR="003A1B47" w:rsidRDefault="003A1B4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6154AF" w:rsidRPr="00C64B86" w:rsidRDefault="006154AF">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7AF803F3" w:rsidR="006154AF" w:rsidRPr="00A00644" w:rsidRDefault="006154A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p w14:paraId="75F5800F" w14:textId="77777777" w:rsidR="006154AF" w:rsidRDefault="006154A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7AF803F3" w:rsidR="006154AF" w:rsidRPr="00A00644" w:rsidRDefault="006154A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p w14:paraId="75F5800F" w14:textId="77777777" w:rsidR="006154AF" w:rsidRDefault="006154AF"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6154AF" w:rsidRDefault="006154AF">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38C2BDE" w:rsidR="006154AF" w:rsidRPr="00A00644" w:rsidRDefault="006154A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38C2BDE" w:rsidR="006154AF" w:rsidRPr="00A00644" w:rsidRDefault="006154A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F939D" w14:textId="77777777" w:rsidR="003A1B47" w:rsidRDefault="003A1B47" w:rsidP="00696990">
      <w:pPr>
        <w:bidi/>
        <w:jc w:val="both"/>
      </w:pPr>
      <w:r>
        <w:separator/>
      </w:r>
    </w:p>
  </w:footnote>
  <w:footnote w:type="continuationSeparator" w:id="0">
    <w:p w14:paraId="33AFFBB3" w14:textId="77777777" w:rsidR="003A1B47" w:rsidRDefault="003A1B47"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6154AF" w:rsidRDefault="006154AF">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6154AF" w:rsidRDefault="006154AF">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6154AF" w:rsidRDefault="006154AF">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6154AF" w:rsidRDefault="006154AF" w:rsidP="0097472C">
                          <w:pPr>
                            <w:spacing w:after="0" w:line="240" w:lineRule="auto"/>
                            <w:ind w:left="567"/>
                            <w:rPr>
                              <w:rFonts w:ascii="Arial" w:eastAsia="Times New Roman" w:hAnsi="Arial" w:cs="Times New Roman"/>
                              <w:sz w:val="24"/>
                              <w:szCs w:val="24"/>
                            </w:rPr>
                          </w:pPr>
                        </w:p>
                        <w:p w14:paraId="62BF567A" w14:textId="77777777" w:rsidR="006154AF" w:rsidRPr="005F7BF4" w:rsidRDefault="006154A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54AF" w:rsidRPr="005F7BF4" w:rsidRDefault="006154A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6154AF" w:rsidRDefault="006154AF" w:rsidP="0097472C">
                    <w:pPr>
                      <w:spacing w:after="0" w:line="240" w:lineRule="auto"/>
                      <w:ind w:left="567"/>
                      <w:rPr>
                        <w:rFonts w:ascii="Arial" w:eastAsia="Times New Roman" w:hAnsi="Arial" w:cs="Times New Roman"/>
                        <w:sz w:val="24"/>
                        <w:szCs w:val="24"/>
                      </w:rPr>
                    </w:pPr>
                  </w:p>
                  <w:p w14:paraId="62BF567A" w14:textId="77777777" w:rsidR="006154AF" w:rsidRPr="005F7BF4" w:rsidRDefault="006154A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54AF" w:rsidRPr="005F7BF4" w:rsidRDefault="006154A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6154AF" w:rsidRDefault="006154AF">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6154AF" w:rsidRDefault="006154AF">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6154AF" w:rsidRDefault="006154AF">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6154AF" w:rsidRDefault="006154AF" w:rsidP="0075404E">
                          <w:pPr>
                            <w:spacing w:after="0" w:line="20" w:lineRule="atLeast"/>
                            <w:ind w:left="567"/>
                            <w:rPr>
                              <w:rFonts w:ascii="Arial" w:eastAsia="Times New Roman" w:hAnsi="Arial" w:cs="Arial"/>
                              <w:sz w:val="24"/>
                              <w:szCs w:val="20"/>
                              <w:lang w:eastAsia="en-US"/>
                            </w:rPr>
                          </w:pPr>
                        </w:p>
                        <w:p w14:paraId="769732F9" w14:textId="77777777" w:rsidR="006154AF" w:rsidRPr="00696C4B" w:rsidRDefault="006154AF"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54AF" w:rsidRPr="00317C84" w:rsidRDefault="006154A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54AF" w:rsidRDefault="006154AF"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6154AF" w:rsidRDefault="006154AF" w:rsidP="0075404E">
                    <w:pPr>
                      <w:spacing w:after="0" w:line="20" w:lineRule="atLeast"/>
                      <w:ind w:left="567"/>
                      <w:rPr>
                        <w:rFonts w:ascii="Arial" w:eastAsia="Times New Roman" w:hAnsi="Arial" w:cs="Arial"/>
                        <w:sz w:val="24"/>
                        <w:szCs w:val="20"/>
                        <w:lang w:eastAsia="en-US"/>
                      </w:rPr>
                    </w:pPr>
                  </w:p>
                  <w:p w14:paraId="769732F9" w14:textId="77777777" w:rsidR="006154AF" w:rsidRPr="00696C4B" w:rsidRDefault="006154AF"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54AF" w:rsidRPr="00317C84" w:rsidRDefault="006154A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54AF" w:rsidRDefault="006154AF"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4CD6"/>
      </v:shape>
    </w:pict>
  </w:numPicBullet>
  <w:abstractNum w:abstractNumId="0" w15:restartNumberingAfterBreak="0">
    <w:nsid w:val="379E681A"/>
    <w:multiLevelType w:val="hybridMultilevel"/>
    <w:tmpl w:val="12384FE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42AB621A"/>
    <w:multiLevelType w:val="hybridMultilevel"/>
    <w:tmpl w:val="8C7C10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720F93"/>
    <w:multiLevelType w:val="hybridMultilevel"/>
    <w:tmpl w:val="6804EEE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505D5636"/>
    <w:multiLevelType w:val="hybridMultilevel"/>
    <w:tmpl w:val="422C0F7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5FFE5D12"/>
    <w:multiLevelType w:val="hybridMultilevel"/>
    <w:tmpl w:val="9ABA3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CE666C"/>
    <w:multiLevelType w:val="hybridMultilevel"/>
    <w:tmpl w:val="49A833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6F902F87"/>
    <w:multiLevelType w:val="hybridMultilevel"/>
    <w:tmpl w:val="35CAEF78"/>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5624D"/>
    <w:rsid w:val="0006269F"/>
    <w:rsid w:val="000800EA"/>
    <w:rsid w:val="00082866"/>
    <w:rsid w:val="00082AD5"/>
    <w:rsid w:val="000856EB"/>
    <w:rsid w:val="00092843"/>
    <w:rsid w:val="00092DE2"/>
    <w:rsid w:val="00094E16"/>
    <w:rsid w:val="00095334"/>
    <w:rsid w:val="000B0D20"/>
    <w:rsid w:val="000B3CD4"/>
    <w:rsid w:val="000C15D8"/>
    <w:rsid w:val="000D1B53"/>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943C4"/>
    <w:rsid w:val="001B10F2"/>
    <w:rsid w:val="001B165D"/>
    <w:rsid w:val="001C4FA9"/>
    <w:rsid w:val="001E231E"/>
    <w:rsid w:val="001E4162"/>
    <w:rsid w:val="001E5DD5"/>
    <w:rsid w:val="001F2B8F"/>
    <w:rsid w:val="00200E4A"/>
    <w:rsid w:val="00201E31"/>
    <w:rsid w:val="002032AB"/>
    <w:rsid w:val="002079A9"/>
    <w:rsid w:val="0021006E"/>
    <w:rsid w:val="00214CFF"/>
    <w:rsid w:val="00216479"/>
    <w:rsid w:val="00221463"/>
    <w:rsid w:val="00221575"/>
    <w:rsid w:val="00231887"/>
    <w:rsid w:val="00243D4D"/>
    <w:rsid w:val="00251672"/>
    <w:rsid w:val="00256BCD"/>
    <w:rsid w:val="002666C9"/>
    <w:rsid w:val="00273DF6"/>
    <w:rsid w:val="00283899"/>
    <w:rsid w:val="0028557D"/>
    <w:rsid w:val="002A2B42"/>
    <w:rsid w:val="002B19EE"/>
    <w:rsid w:val="002C1F0C"/>
    <w:rsid w:val="002C639E"/>
    <w:rsid w:val="002D182E"/>
    <w:rsid w:val="0030340B"/>
    <w:rsid w:val="003040F9"/>
    <w:rsid w:val="00306AB7"/>
    <w:rsid w:val="00311B43"/>
    <w:rsid w:val="00350AB4"/>
    <w:rsid w:val="00354137"/>
    <w:rsid w:val="00367634"/>
    <w:rsid w:val="003752C0"/>
    <w:rsid w:val="00381A58"/>
    <w:rsid w:val="0039071A"/>
    <w:rsid w:val="00393F3A"/>
    <w:rsid w:val="003A1B47"/>
    <w:rsid w:val="003A76D7"/>
    <w:rsid w:val="003B5639"/>
    <w:rsid w:val="003B6CD4"/>
    <w:rsid w:val="003D2C2B"/>
    <w:rsid w:val="003E4DFF"/>
    <w:rsid w:val="003E65BB"/>
    <w:rsid w:val="003E7738"/>
    <w:rsid w:val="003F1349"/>
    <w:rsid w:val="003F1440"/>
    <w:rsid w:val="003F6ED1"/>
    <w:rsid w:val="004038CF"/>
    <w:rsid w:val="00407110"/>
    <w:rsid w:val="004164F8"/>
    <w:rsid w:val="00424FFC"/>
    <w:rsid w:val="00425178"/>
    <w:rsid w:val="00437520"/>
    <w:rsid w:val="00441B32"/>
    <w:rsid w:val="004421E2"/>
    <w:rsid w:val="004529F4"/>
    <w:rsid w:val="00453596"/>
    <w:rsid w:val="00490B6E"/>
    <w:rsid w:val="00496D4E"/>
    <w:rsid w:val="004D03AF"/>
    <w:rsid w:val="004D4882"/>
    <w:rsid w:val="004D72D1"/>
    <w:rsid w:val="00501F7A"/>
    <w:rsid w:val="0050531C"/>
    <w:rsid w:val="005058F3"/>
    <w:rsid w:val="00505A5B"/>
    <w:rsid w:val="005177E1"/>
    <w:rsid w:val="005219FA"/>
    <w:rsid w:val="0052231B"/>
    <w:rsid w:val="00553D71"/>
    <w:rsid w:val="0055499B"/>
    <w:rsid w:val="00555A2C"/>
    <w:rsid w:val="00580CC0"/>
    <w:rsid w:val="00583375"/>
    <w:rsid w:val="0059517C"/>
    <w:rsid w:val="005D17EC"/>
    <w:rsid w:val="005D516D"/>
    <w:rsid w:val="005E2AA2"/>
    <w:rsid w:val="005F7250"/>
    <w:rsid w:val="005F7BF4"/>
    <w:rsid w:val="0060160F"/>
    <w:rsid w:val="00610A8F"/>
    <w:rsid w:val="00614E8F"/>
    <w:rsid w:val="006154AF"/>
    <w:rsid w:val="006214EB"/>
    <w:rsid w:val="00631282"/>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E6E39"/>
    <w:rsid w:val="007F729E"/>
    <w:rsid w:val="008016FB"/>
    <w:rsid w:val="0080602C"/>
    <w:rsid w:val="00811FBC"/>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331B9"/>
    <w:rsid w:val="0094212D"/>
    <w:rsid w:val="00947C5D"/>
    <w:rsid w:val="00957F0E"/>
    <w:rsid w:val="00972982"/>
    <w:rsid w:val="0097472C"/>
    <w:rsid w:val="00991661"/>
    <w:rsid w:val="009A32B2"/>
    <w:rsid w:val="009A7FD9"/>
    <w:rsid w:val="009C334C"/>
    <w:rsid w:val="009D2035"/>
    <w:rsid w:val="009D3031"/>
    <w:rsid w:val="009E1709"/>
    <w:rsid w:val="009E1D9C"/>
    <w:rsid w:val="009E3917"/>
    <w:rsid w:val="009E4A90"/>
    <w:rsid w:val="00A00644"/>
    <w:rsid w:val="00A04F09"/>
    <w:rsid w:val="00A054EF"/>
    <w:rsid w:val="00A17F36"/>
    <w:rsid w:val="00A20B29"/>
    <w:rsid w:val="00A26AD7"/>
    <w:rsid w:val="00A34AC4"/>
    <w:rsid w:val="00A52D91"/>
    <w:rsid w:val="00A537BE"/>
    <w:rsid w:val="00A577A9"/>
    <w:rsid w:val="00A57A24"/>
    <w:rsid w:val="00A70B9C"/>
    <w:rsid w:val="00A762A2"/>
    <w:rsid w:val="00A81D8F"/>
    <w:rsid w:val="00A879D2"/>
    <w:rsid w:val="00A90F21"/>
    <w:rsid w:val="00AA38B8"/>
    <w:rsid w:val="00AA4191"/>
    <w:rsid w:val="00AD2268"/>
    <w:rsid w:val="00AE007A"/>
    <w:rsid w:val="00AF10CF"/>
    <w:rsid w:val="00AF2B4A"/>
    <w:rsid w:val="00B03A80"/>
    <w:rsid w:val="00B05438"/>
    <w:rsid w:val="00B072FD"/>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E4D8C"/>
    <w:rsid w:val="00CE7620"/>
    <w:rsid w:val="00D00D80"/>
    <w:rsid w:val="00D07749"/>
    <w:rsid w:val="00D17590"/>
    <w:rsid w:val="00D20328"/>
    <w:rsid w:val="00D20500"/>
    <w:rsid w:val="00D25AFB"/>
    <w:rsid w:val="00D27C26"/>
    <w:rsid w:val="00D32CFF"/>
    <w:rsid w:val="00D45550"/>
    <w:rsid w:val="00D60C96"/>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A3C60"/>
    <w:rsid w:val="00EA4612"/>
    <w:rsid w:val="00EB606A"/>
    <w:rsid w:val="00EB6782"/>
    <w:rsid w:val="00ED5BA9"/>
    <w:rsid w:val="00ED60E2"/>
    <w:rsid w:val="00EE2DE8"/>
    <w:rsid w:val="00EE42C2"/>
    <w:rsid w:val="00F0326A"/>
    <w:rsid w:val="00F117DA"/>
    <w:rsid w:val="00F2277A"/>
    <w:rsid w:val="00F22FA3"/>
    <w:rsid w:val="00F312D4"/>
    <w:rsid w:val="00F32206"/>
    <w:rsid w:val="00F33C3E"/>
    <w:rsid w:val="00F46011"/>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Mentionnonrsolue1">
    <w:name w:val="Mention non résolue1"/>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 w:type="character" w:styleId="Mentionnonrsolue">
    <w:name w:val="Unresolved Mention"/>
    <w:basedOn w:val="Policepardfaut"/>
    <w:uiPriority w:val="99"/>
    <w:semiHidden/>
    <w:unhideWhenUsed/>
    <w:rsid w:val="000C1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BEF6-F01D-4B9B-B853-C161AC40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2523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Dcaf-ALIA</cp:lastModifiedBy>
  <cp:revision>2</cp:revision>
  <cp:lastPrinted>2020-11-09T09:51:00Z</cp:lastPrinted>
  <dcterms:created xsi:type="dcterms:W3CDTF">2021-02-01T11:19:00Z</dcterms:created>
  <dcterms:modified xsi:type="dcterms:W3CDTF">2021-02-01T11:19:00Z</dcterms:modified>
</cp:coreProperties>
</file>