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B7DF" w14:textId="64FD8846" w:rsidR="00BC01CC" w:rsidRPr="00BC01CC" w:rsidRDefault="00BC01CC" w:rsidP="00BC01CC">
      <w:pPr>
        <w:bidi/>
        <w:spacing w:before="120" w:after="0" w:line="240" w:lineRule="auto"/>
        <w:ind w:left="284"/>
        <w:jc w:val="both"/>
        <w:rPr>
          <w:rFonts w:ascii="Arial" w:hAnsi="Arial" w:cs="Arial"/>
          <w:b/>
          <w:bCs/>
          <w:sz w:val="24"/>
          <w:szCs w:val="24"/>
          <w:rtl/>
        </w:rPr>
      </w:pPr>
      <w:r w:rsidRPr="00BC01CC">
        <w:rPr>
          <w:rFonts w:ascii="Arial" w:hAnsi="Arial" w:cs="Arial"/>
          <w:b/>
          <w:bCs/>
          <w:sz w:val="24"/>
          <w:szCs w:val="24"/>
          <w:rtl/>
        </w:rPr>
        <w:t>أمر حكومي عدد 524 لسنة 2019 مؤرخ في 17 جوان 2019 يتعلق بضبط تنظيم اللجنة الوطنية لمكافحة الإرهاب وطرق سيرها</w:t>
      </w:r>
    </w:p>
    <w:p w14:paraId="5F574DA9" w14:textId="77777777" w:rsidR="00BC01CC" w:rsidRDefault="00BC01CC" w:rsidP="00BC01CC">
      <w:pPr>
        <w:bidi/>
        <w:spacing w:before="120" w:after="0" w:line="240" w:lineRule="auto"/>
        <w:ind w:left="284"/>
        <w:jc w:val="both"/>
        <w:rPr>
          <w:rFonts w:ascii="Arial" w:hAnsi="Arial" w:cs="Arial"/>
        </w:rPr>
      </w:pPr>
    </w:p>
    <w:p w14:paraId="0FE984B6" w14:textId="6D61E33B"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إن رئيس الحكومة،</w:t>
      </w:r>
    </w:p>
    <w:p w14:paraId="4AE41570"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بعد الاطلاع على الدستور،</w:t>
      </w:r>
    </w:p>
    <w:p w14:paraId="38918C2E"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القانون الأساسي عدد 26 لسنة 2015 المؤرخ في 7 أوت 2015 المتعلق بمكافحة الإرهاب ومنع غسل الأموال كما تم تنقيحه وإتمامه بالقانون الأساسي عدد 9 لسنة 2019 المؤرخ في 23 جانفي 2019 وخاصة الفصلين 66 و67 منه،</w:t>
      </w:r>
    </w:p>
    <w:p w14:paraId="2EE90A24"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7CF22DF4"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القانون عدد 33 لسنة 2015 المؤرخ في 17 أوت 2015 المتعلق بضبط الوظائف المدنية العليا طبقا لأحكام الفصل 92 من الدستور،</w:t>
      </w:r>
    </w:p>
    <w:p w14:paraId="5054508F"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 xml:space="preserve">وعلى الأمر عدد 1245 لسنة 2006 المؤرخ في 24 </w:t>
      </w:r>
      <w:proofErr w:type="spellStart"/>
      <w:r w:rsidRPr="00BC01CC">
        <w:rPr>
          <w:rFonts w:ascii="Arial" w:hAnsi="Arial" w:cs="Arial"/>
          <w:rtl/>
        </w:rPr>
        <w:t>أفريل</w:t>
      </w:r>
      <w:proofErr w:type="spellEnd"/>
      <w:r w:rsidRPr="00BC01CC">
        <w:rPr>
          <w:rFonts w:ascii="Arial" w:hAnsi="Arial" w:cs="Arial"/>
          <w:rtl/>
        </w:rPr>
        <w:t xml:space="preserve"> 2006 المتعلق بضبط نظام إسناد الخطط الوظيفية بالإدارة المركزية والإعفاء منها،</w:t>
      </w:r>
    </w:p>
    <w:p w14:paraId="102C1DE2"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 xml:space="preserve">وعلى الأمر الحكومي عدد 1777 لسنة 2015 المؤرخ في 25 نوفمبر 2015 المتعلق بضبط تنظيم اللجنة الوطنية لمكافحة الإرهاب وطرق سيرها، </w:t>
      </w:r>
    </w:p>
    <w:p w14:paraId="4CF2A22D"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الأمر الرئاسي عدد 107 لسنة 2016 المؤرخ في 27 أوت 2016 المتعلق بتسمية رئيس الحكومة وأعضائها،</w:t>
      </w:r>
    </w:p>
    <w:p w14:paraId="0CB1D312" w14:textId="334B36B8"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الأمر الحكومي عدد 419 لسنة 2019 المؤرخ في 17 ماي 2019 المتعلق بضبط إجراءات تنفيذ القرارات الصادرة عن الهياكل الأممية المختصة المرتبطة بمنع تمويل الإرهاب ومنع تمويل انتشار أسلحة الدمار الشامل</w:t>
      </w:r>
      <w:r w:rsidRPr="00BC01CC">
        <w:rPr>
          <w:rFonts w:ascii="Arial" w:hAnsi="Arial" w:cs="Arial"/>
        </w:rPr>
        <w:t>.</w:t>
      </w:r>
    </w:p>
    <w:p w14:paraId="1CFB16FC"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رأي وزير المالية،</w:t>
      </w:r>
    </w:p>
    <w:p w14:paraId="041EBC7A"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وعلى رأي المحكمة الإدارية،</w:t>
      </w:r>
    </w:p>
    <w:p w14:paraId="3F966F0A"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وبعد مداولة مجلس الوزراء</w:t>
      </w:r>
      <w:r w:rsidRPr="00BC01CC">
        <w:rPr>
          <w:rFonts w:ascii="Arial" w:hAnsi="Arial" w:cs="Arial"/>
        </w:rPr>
        <w:t>.</w:t>
      </w:r>
    </w:p>
    <w:p w14:paraId="5FC6622D"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يصدر الأمر الحكومي الآتي نصه</w:t>
      </w:r>
      <w:r w:rsidRPr="00BC01CC">
        <w:rPr>
          <w:rFonts w:ascii="Arial" w:hAnsi="Arial" w:cs="Arial"/>
        </w:rPr>
        <w:t>:</w:t>
      </w:r>
    </w:p>
    <w:p w14:paraId="2590B70E" w14:textId="49337E88"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الأول </w:t>
      </w:r>
      <w:r w:rsidRPr="00BC01CC">
        <w:rPr>
          <w:rFonts w:ascii="Arial" w:hAnsi="Arial" w:cs="Arial"/>
          <w:b/>
          <w:bCs/>
          <w:rtl/>
        </w:rPr>
        <w:t>–</w:t>
      </w:r>
      <w:r w:rsidRPr="00BC01CC">
        <w:rPr>
          <w:rFonts w:ascii="Arial" w:hAnsi="Arial" w:cs="Arial"/>
          <w:rtl/>
        </w:rPr>
        <w:t xml:space="preserve"> يهدف هذا الأمر الحكومي إلى ضبط تنظيم وطرق سير اللجنة الوطنية لمكافحة الإرهاب المحدثة بمقتضى الفصل 66 من القانون الأساسي عدد 26 لسنة 2015 المشار إليه أعلاه، ويشار إليها فيما يلي بـ "اللجنة</w:t>
      </w:r>
      <w:r w:rsidRPr="00BC01CC">
        <w:rPr>
          <w:rFonts w:ascii="Arial" w:hAnsi="Arial" w:cs="Arial"/>
        </w:rPr>
        <w:t>".</w:t>
      </w:r>
    </w:p>
    <w:p w14:paraId="3BCB4ADC" w14:textId="77777777" w:rsidR="00BC01CC" w:rsidRPr="00BC01CC" w:rsidRDefault="00BC01CC" w:rsidP="00BC01CC">
      <w:pPr>
        <w:bidi/>
        <w:spacing w:before="120" w:after="0" w:line="240" w:lineRule="auto"/>
        <w:ind w:left="284"/>
        <w:jc w:val="both"/>
        <w:rPr>
          <w:rFonts w:ascii="Arial" w:hAnsi="Arial" w:cs="Arial"/>
          <w:rtl/>
        </w:rPr>
      </w:pPr>
    </w:p>
    <w:p w14:paraId="1DDBEA57" w14:textId="1BBB0477" w:rsidR="00BC01CC" w:rsidRPr="00BC01CC" w:rsidRDefault="00BC01CC" w:rsidP="00BC01CC">
      <w:pPr>
        <w:bidi/>
        <w:spacing w:before="120" w:after="0" w:line="240" w:lineRule="auto"/>
        <w:ind w:left="284"/>
        <w:jc w:val="center"/>
        <w:rPr>
          <w:rFonts w:ascii="Arial" w:hAnsi="Arial" w:cs="Arial"/>
          <w:b/>
          <w:bCs/>
          <w:rtl/>
        </w:rPr>
      </w:pPr>
      <w:r w:rsidRPr="00BC01CC">
        <w:rPr>
          <w:rFonts w:ascii="Arial" w:hAnsi="Arial" w:cs="Arial"/>
          <w:b/>
          <w:bCs/>
          <w:rtl/>
        </w:rPr>
        <w:t>الباب الأوّل</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hint="cs"/>
          <w:b/>
          <w:bCs/>
          <w:rtl/>
        </w:rPr>
        <w:t xml:space="preserve"> </w:t>
      </w:r>
      <w:r w:rsidRPr="00BC01CC">
        <w:rPr>
          <w:rFonts w:ascii="Arial" w:hAnsi="Arial" w:cs="Arial"/>
          <w:b/>
          <w:bCs/>
          <w:rtl/>
        </w:rPr>
        <w:t>تنظيم اللجنة</w:t>
      </w:r>
    </w:p>
    <w:p w14:paraId="1EB48BB3" w14:textId="36B65D9F" w:rsidR="00BC01CC" w:rsidRDefault="00BC01CC" w:rsidP="00BC01CC">
      <w:pPr>
        <w:bidi/>
        <w:spacing w:before="120" w:after="0" w:line="240" w:lineRule="auto"/>
        <w:ind w:left="284"/>
        <w:jc w:val="center"/>
        <w:rPr>
          <w:rFonts w:ascii="Arial" w:hAnsi="Arial" w:cs="Arial"/>
          <w:b/>
          <w:bCs/>
          <w:rtl/>
        </w:rPr>
      </w:pPr>
      <w:r w:rsidRPr="00BC01CC">
        <w:rPr>
          <w:rFonts w:ascii="Arial" w:hAnsi="Arial" w:cs="Arial"/>
          <w:b/>
          <w:bCs/>
          <w:rtl/>
        </w:rPr>
        <w:t>القسم الأول</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hint="cs"/>
          <w:b/>
          <w:bCs/>
          <w:rtl/>
        </w:rPr>
        <w:t xml:space="preserve"> </w:t>
      </w:r>
      <w:r w:rsidRPr="00BC01CC">
        <w:rPr>
          <w:rFonts w:ascii="Arial" w:hAnsi="Arial" w:cs="Arial"/>
          <w:b/>
          <w:bCs/>
          <w:rtl/>
        </w:rPr>
        <w:t>مهام رئيس وأعضاء اللجنة</w:t>
      </w:r>
    </w:p>
    <w:p w14:paraId="0D326585" w14:textId="77777777" w:rsidR="00BC01CC" w:rsidRPr="00BC01CC" w:rsidRDefault="00BC01CC" w:rsidP="00BC01CC">
      <w:pPr>
        <w:bidi/>
        <w:spacing w:before="120" w:after="0" w:line="240" w:lineRule="auto"/>
        <w:ind w:left="284"/>
        <w:jc w:val="center"/>
        <w:rPr>
          <w:rFonts w:ascii="Arial" w:hAnsi="Arial" w:cs="Arial"/>
          <w:b/>
          <w:bCs/>
          <w:rtl/>
        </w:rPr>
      </w:pPr>
    </w:p>
    <w:p w14:paraId="0F600CB3" w14:textId="7E58D33E"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الفصل 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BC01CC">
        <w:rPr>
          <w:rFonts w:ascii="Arial" w:hAnsi="Arial" w:cs="Arial"/>
          <w:rtl/>
        </w:rPr>
        <w:t>يتولى رئيس اللجنة الإشراف على التسيير الإداري للجنة ويمارس في هذا الإطار خاصة المشمولات التالية</w:t>
      </w:r>
      <w:r w:rsidRPr="00BC01CC">
        <w:rPr>
          <w:rFonts w:ascii="Arial" w:hAnsi="Arial" w:cs="Arial"/>
        </w:rPr>
        <w:t>:</w:t>
      </w:r>
    </w:p>
    <w:p w14:paraId="794B32A8" w14:textId="450938DA" w:rsidR="00BC01CC" w:rsidRPr="00BC01CC" w:rsidRDefault="00BC01CC" w:rsidP="00BC01CC">
      <w:pPr>
        <w:pStyle w:val="Paragraphedeliste"/>
        <w:numPr>
          <w:ilvl w:val="0"/>
          <w:numId w:val="40"/>
        </w:numPr>
        <w:bidi/>
        <w:spacing w:before="120" w:after="0" w:line="240" w:lineRule="auto"/>
        <w:ind w:left="927"/>
        <w:jc w:val="both"/>
        <w:rPr>
          <w:rFonts w:ascii="Arial" w:hAnsi="Arial" w:cs="Arial"/>
          <w:rtl/>
        </w:rPr>
      </w:pPr>
      <w:r w:rsidRPr="00BC01CC">
        <w:rPr>
          <w:rFonts w:ascii="Arial" w:hAnsi="Arial" w:cs="Arial"/>
          <w:rtl/>
        </w:rPr>
        <w:t>الدعوة لاجتماعات اللجنة وضبط جدول أعمالها،</w:t>
      </w:r>
    </w:p>
    <w:p w14:paraId="30994A57" w14:textId="1CF3CD66" w:rsidR="00BC01CC" w:rsidRPr="00BC01CC" w:rsidRDefault="00BC01CC" w:rsidP="00BC01CC">
      <w:pPr>
        <w:pStyle w:val="Paragraphedeliste"/>
        <w:numPr>
          <w:ilvl w:val="0"/>
          <w:numId w:val="40"/>
        </w:numPr>
        <w:bidi/>
        <w:spacing w:before="120" w:after="0" w:line="240" w:lineRule="auto"/>
        <w:ind w:left="927"/>
        <w:jc w:val="both"/>
        <w:rPr>
          <w:rFonts w:ascii="Arial" w:hAnsi="Arial" w:cs="Arial"/>
          <w:rtl/>
        </w:rPr>
      </w:pPr>
      <w:r w:rsidRPr="00BC01CC">
        <w:rPr>
          <w:rFonts w:ascii="Arial" w:hAnsi="Arial" w:cs="Arial"/>
          <w:rtl/>
        </w:rPr>
        <w:t xml:space="preserve">إمضاء الاتفاقات ومذكرات التفاهم وفقا للقوانين والتراتيب الجاري بها العمل وبالتنسيق مع وزارة الشؤون الخارجية، </w:t>
      </w:r>
    </w:p>
    <w:p w14:paraId="54851FF9" w14:textId="20C99B8D" w:rsidR="00BC01CC" w:rsidRPr="00BC01CC" w:rsidRDefault="00BC01CC" w:rsidP="00BC01CC">
      <w:pPr>
        <w:pStyle w:val="Paragraphedeliste"/>
        <w:numPr>
          <w:ilvl w:val="0"/>
          <w:numId w:val="40"/>
        </w:numPr>
        <w:bidi/>
        <w:spacing w:before="120" w:after="0" w:line="240" w:lineRule="auto"/>
        <w:ind w:left="927"/>
        <w:jc w:val="both"/>
        <w:rPr>
          <w:rFonts w:ascii="Arial" w:hAnsi="Arial" w:cs="Arial"/>
          <w:rtl/>
        </w:rPr>
      </w:pPr>
      <w:r w:rsidRPr="00BC01CC">
        <w:rPr>
          <w:rFonts w:ascii="Arial" w:hAnsi="Arial" w:cs="Arial"/>
          <w:rtl/>
        </w:rPr>
        <w:t>تمثيل اللجنة لدى الغير في كل الأعمال الإدارية والقضائية،</w:t>
      </w:r>
    </w:p>
    <w:p w14:paraId="37120A75" w14:textId="69A4CB9F" w:rsidR="00BC01CC" w:rsidRPr="00BC01CC" w:rsidRDefault="00BC01CC" w:rsidP="00BC01CC">
      <w:pPr>
        <w:pStyle w:val="Paragraphedeliste"/>
        <w:numPr>
          <w:ilvl w:val="0"/>
          <w:numId w:val="40"/>
        </w:numPr>
        <w:bidi/>
        <w:spacing w:before="120" w:after="0" w:line="240" w:lineRule="auto"/>
        <w:ind w:left="927"/>
        <w:jc w:val="both"/>
        <w:rPr>
          <w:rFonts w:ascii="Arial" w:hAnsi="Arial" w:cs="Arial"/>
          <w:rtl/>
        </w:rPr>
      </w:pPr>
      <w:r w:rsidRPr="00BC01CC">
        <w:rPr>
          <w:rFonts w:ascii="Arial" w:hAnsi="Arial" w:cs="Arial"/>
          <w:rtl/>
        </w:rPr>
        <w:t>الإشراف على تنفيذ القرارات الصادرة عن اللجنة والمهام المتصلة بنشاطها</w:t>
      </w:r>
      <w:r w:rsidRPr="00BC01CC">
        <w:rPr>
          <w:rFonts w:ascii="Arial" w:hAnsi="Arial" w:cs="Arial"/>
        </w:rPr>
        <w:t>.</w:t>
      </w:r>
    </w:p>
    <w:p w14:paraId="4A280D42" w14:textId="08370774"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3 </w:t>
      </w:r>
      <w:r w:rsidRPr="00BC01CC">
        <w:rPr>
          <w:rFonts w:ascii="Arial" w:hAnsi="Arial" w:cs="Arial"/>
          <w:b/>
          <w:bCs/>
          <w:rtl/>
        </w:rPr>
        <w:t>–</w:t>
      </w:r>
      <w:r w:rsidRPr="00BC01CC">
        <w:rPr>
          <w:rFonts w:ascii="Arial" w:hAnsi="Arial" w:cs="Arial"/>
          <w:rtl/>
        </w:rPr>
        <w:t xml:space="preserve"> يمكن لرئيس اللجنة تفويض جزء من صلاحياته لنائبه</w:t>
      </w:r>
      <w:r w:rsidRPr="00BC01CC">
        <w:rPr>
          <w:rFonts w:ascii="Arial" w:hAnsi="Arial" w:cs="Arial"/>
        </w:rPr>
        <w:t>.</w:t>
      </w:r>
    </w:p>
    <w:p w14:paraId="52D826F5" w14:textId="228E054A"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4</w:t>
      </w:r>
      <w:r>
        <w:rPr>
          <w:rFonts w:ascii="Arial" w:hAnsi="Arial" w:cs="Arial" w:hint="cs"/>
          <w:rtl/>
        </w:rPr>
        <w:t xml:space="preserve"> </w:t>
      </w:r>
      <w:r>
        <w:rPr>
          <w:rFonts w:ascii="Arial" w:hAnsi="Arial" w:cs="Arial"/>
          <w:rtl/>
        </w:rPr>
        <w:t>–</w:t>
      </w:r>
      <w:r w:rsidRPr="00BC01CC">
        <w:rPr>
          <w:rFonts w:ascii="Arial" w:hAnsi="Arial" w:cs="Arial"/>
          <w:rtl/>
        </w:rPr>
        <w:t xml:space="preserve"> في صورة غياب الرئيس أو تعذر ممارسته لمهامه يتولى نائبه رئاسة اللجنة بالنيابة</w:t>
      </w:r>
      <w:r w:rsidRPr="00BC01CC">
        <w:rPr>
          <w:rFonts w:ascii="Arial" w:hAnsi="Arial" w:cs="Arial"/>
        </w:rPr>
        <w:t>.</w:t>
      </w:r>
    </w:p>
    <w:p w14:paraId="495B5973" w14:textId="77777777" w:rsidR="00BC01CC" w:rsidRPr="00BC01CC" w:rsidRDefault="00BC01CC" w:rsidP="00BC01CC">
      <w:pPr>
        <w:bidi/>
        <w:spacing w:before="120" w:after="0" w:line="240" w:lineRule="auto"/>
        <w:ind w:left="284"/>
        <w:jc w:val="both"/>
        <w:rPr>
          <w:rFonts w:ascii="Arial" w:hAnsi="Arial" w:cs="Arial"/>
          <w:rtl/>
        </w:rPr>
      </w:pPr>
    </w:p>
    <w:p w14:paraId="05A04739" w14:textId="2F663C26" w:rsidR="00BC01CC" w:rsidRPr="00BC01CC" w:rsidRDefault="00BC01CC" w:rsidP="00BC01CC">
      <w:pPr>
        <w:bidi/>
        <w:spacing w:before="120" w:after="0" w:line="240" w:lineRule="auto"/>
        <w:ind w:left="284"/>
        <w:jc w:val="center"/>
        <w:rPr>
          <w:rFonts w:ascii="Arial" w:hAnsi="Arial" w:cs="Arial"/>
          <w:b/>
          <w:bCs/>
          <w:rtl/>
        </w:rPr>
      </w:pPr>
      <w:r w:rsidRPr="00BC01CC">
        <w:rPr>
          <w:rFonts w:ascii="Arial" w:hAnsi="Arial" w:cs="Arial"/>
          <w:b/>
          <w:bCs/>
          <w:rtl/>
        </w:rPr>
        <w:t>القسم الثاني</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hint="cs"/>
          <w:b/>
          <w:bCs/>
          <w:rtl/>
        </w:rPr>
        <w:t xml:space="preserve"> </w:t>
      </w:r>
      <w:r w:rsidRPr="00BC01CC">
        <w:rPr>
          <w:rFonts w:ascii="Arial" w:hAnsi="Arial" w:cs="Arial"/>
          <w:b/>
          <w:bCs/>
          <w:rtl/>
        </w:rPr>
        <w:t>الكتابة القارة</w:t>
      </w:r>
    </w:p>
    <w:p w14:paraId="70D91279" w14:textId="77777777" w:rsidR="00BC01CC" w:rsidRPr="00BC01CC" w:rsidRDefault="00BC01CC" w:rsidP="00BC01CC">
      <w:pPr>
        <w:bidi/>
        <w:spacing w:before="120" w:after="0" w:line="240" w:lineRule="auto"/>
        <w:ind w:left="284"/>
        <w:jc w:val="both"/>
        <w:rPr>
          <w:rFonts w:ascii="Arial" w:hAnsi="Arial" w:cs="Arial"/>
          <w:rtl/>
        </w:rPr>
      </w:pPr>
    </w:p>
    <w:p w14:paraId="5B30C05E" w14:textId="6F571033"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5 </w:t>
      </w:r>
      <w:r w:rsidRPr="00BC01CC">
        <w:rPr>
          <w:rFonts w:ascii="Arial" w:hAnsi="Arial" w:cs="Arial"/>
          <w:b/>
          <w:bCs/>
          <w:rtl/>
        </w:rPr>
        <w:t>–</w:t>
      </w:r>
      <w:r w:rsidRPr="00BC01CC">
        <w:rPr>
          <w:rFonts w:ascii="Arial" w:hAnsi="Arial" w:cs="Arial"/>
          <w:rtl/>
        </w:rPr>
        <w:t xml:space="preserve"> تتولى الكتابة القارة تحضير أشغال اللجنة ومتابعة تنفيذ قراراتها وتوصياتها. كما تقوم بكل الأعمال التي يكلفها بها رئيس اللجنة أو نائبه</w:t>
      </w:r>
      <w:r w:rsidRPr="00BC01CC">
        <w:rPr>
          <w:rFonts w:ascii="Arial" w:hAnsi="Arial" w:cs="Arial"/>
        </w:rPr>
        <w:t>.</w:t>
      </w:r>
    </w:p>
    <w:p w14:paraId="4C0BDC9B" w14:textId="7A15710E"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lastRenderedPageBreak/>
        <w:t>ويشرف على الكتابة القارة للجنة إطار تسند له خطة مدير عام إدارة مركزية</w:t>
      </w:r>
      <w:r w:rsidRPr="00BC01CC">
        <w:rPr>
          <w:rFonts w:ascii="Arial" w:hAnsi="Arial" w:cs="Arial"/>
        </w:rPr>
        <w:t>.</w:t>
      </w:r>
    </w:p>
    <w:p w14:paraId="7E1B0264" w14:textId="2FA9F6FB"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6 </w:t>
      </w:r>
      <w:r w:rsidRPr="00BC01CC">
        <w:rPr>
          <w:rFonts w:ascii="Arial" w:hAnsi="Arial" w:cs="Arial"/>
          <w:b/>
          <w:bCs/>
          <w:rtl/>
        </w:rPr>
        <w:t>–</w:t>
      </w:r>
      <w:r w:rsidRPr="00BC01CC">
        <w:rPr>
          <w:rFonts w:ascii="Arial" w:hAnsi="Arial" w:cs="Arial"/>
          <w:rtl/>
        </w:rPr>
        <w:t xml:space="preserve"> تتكون الكتابة القارة من</w:t>
      </w:r>
      <w:r w:rsidRPr="00BC01CC">
        <w:rPr>
          <w:rFonts w:ascii="Arial" w:hAnsi="Arial" w:cs="Arial"/>
        </w:rPr>
        <w:t>:</w:t>
      </w:r>
    </w:p>
    <w:p w14:paraId="0EBE216F" w14:textId="2674B93A" w:rsidR="00BC01CC" w:rsidRPr="00BC01CC" w:rsidRDefault="00BC01CC" w:rsidP="00BC01CC">
      <w:pPr>
        <w:pStyle w:val="Paragraphedeliste"/>
        <w:numPr>
          <w:ilvl w:val="0"/>
          <w:numId w:val="41"/>
        </w:numPr>
        <w:bidi/>
        <w:spacing w:before="120" w:after="0" w:line="240" w:lineRule="auto"/>
        <w:ind w:left="927"/>
        <w:jc w:val="both"/>
        <w:rPr>
          <w:rFonts w:ascii="Arial" w:hAnsi="Arial" w:cs="Arial"/>
          <w:rtl/>
        </w:rPr>
      </w:pPr>
      <w:r w:rsidRPr="00BC01CC">
        <w:rPr>
          <w:rFonts w:ascii="Arial" w:hAnsi="Arial" w:cs="Arial"/>
          <w:rtl/>
        </w:rPr>
        <w:t>وحدة العلاقة مع المجتمع المدني والتعاون الدولي والتكوين،</w:t>
      </w:r>
    </w:p>
    <w:p w14:paraId="6F5C3C86" w14:textId="408AE66D" w:rsidR="00BC01CC" w:rsidRPr="00BC01CC" w:rsidRDefault="00BC01CC" w:rsidP="00BC01CC">
      <w:pPr>
        <w:pStyle w:val="Paragraphedeliste"/>
        <w:numPr>
          <w:ilvl w:val="0"/>
          <w:numId w:val="41"/>
        </w:numPr>
        <w:bidi/>
        <w:spacing w:before="120" w:after="0" w:line="240" w:lineRule="auto"/>
        <w:ind w:left="927"/>
        <w:jc w:val="both"/>
        <w:rPr>
          <w:rFonts w:ascii="Arial" w:hAnsi="Arial" w:cs="Arial"/>
          <w:rtl/>
        </w:rPr>
      </w:pPr>
      <w:r w:rsidRPr="00BC01CC">
        <w:rPr>
          <w:rFonts w:ascii="Arial" w:hAnsi="Arial" w:cs="Arial"/>
          <w:rtl/>
        </w:rPr>
        <w:t>وحدة تفعيل القرارات الأممية المرتبطة بمكافحة الإرهاب ومنع تمويله ومنع انتشار أسلحة الدمار الشامل</w:t>
      </w:r>
      <w:r w:rsidRPr="00BC01CC">
        <w:rPr>
          <w:rFonts w:ascii="Arial" w:hAnsi="Arial" w:cs="Arial" w:hint="cs"/>
          <w:rtl/>
        </w:rPr>
        <w:t>،</w:t>
      </w:r>
    </w:p>
    <w:p w14:paraId="02AA0597" w14:textId="7E4CBC81" w:rsidR="00BC01CC" w:rsidRPr="00BC01CC" w:rsidRDefault="00BC01CC" w:rsidP="00BC01CC">
      <w:pPr>
        <w:pStyle w:val="Paragraphedeliste"/>
        <w:numPr>
          <w:ilvl w:val="0"/>
          <w:numId w:val="41"/>
        </w:numPr>
        <w:bidi/>
        <w:spacing w:before="120" w:after="0" w:line="240" w:lineRule="auto"/>
        <w:ind w:left="927"/>
        <w:jc w:val="both"/>
        <w:rPr>
          <w:rFonts w:ascii="Arial" w:hAnsi="Arial" w:cs="Arial"/>
          <w:rtl/>
        </w:rPr>
      </w:pPr>
      <w:r w:rsidRPr="00BC01CC">
        <w:rPr>
          <w:rFonts w:ascii="Arial" w:hAnsi="Arial" w:cs="Arial"/>
          <w:rtl/>
        </w:rPr>
        <w:t>وحدة أنظمة المعلومات وتنسيق المساعدة لضحايا الإرهاب</w:t>
      </w:r>
      <w:r w:rsidRPr="00BC01CC">
        <w:rPr>
          <w:rFonts w:ascii="Arial" w:hAnsi="Arial" w:cs="Arial"/>
        </w:rPr>
        <w:t>.</w:t>
      </w:r>
    </w:p>
    <w:p w14:paraId="4FA51D2A" w14:textId="7C7BB743"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7 </w:t>
      </w:r>
      <w:r w:rsidRPr="00BC01CC">
        <w:rPr>
          <w:rFonts w:ascii="Arial" w:hAnsi="Arial" w:cs="Arial"/>
          <w:b/>
          <w:bCs/>
          <w:rtl/>
        </w:rPr>
        <w:t>–</w:t>
      </w:r>
      <w:r w:rsidRPr="00BC01CC">
        <w:rPr>
          <w:rFonts w:ascii="Arial" w:hAnsi="Arial" w:cs="Arial"/>
          <w:rtl/>
        </w:rPr>
        <w:t xml:space="preserve"> يشرف على الوحدات المنصوص عليها بالفصل 6 أعلاه</w:t>
      </w:r>
      <w:r w:rsidRPr="00BC01CC">
        <w:rPr>
          <w:rFonts w:ascii="Arial" w:hAnsi="Arial" w:cs="Arial"/>
        </w:rPr>
        <w:t>:</w:t>
      </w:r>
    </w:p>
    <w:p w14:paraId="5A7E9E88" w14:textId="31327E46"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 xml:space="preserve">مدير وحدة العلاقة مع المجتمع المدني والتعاون الدولي والتكوين، يساعده </w:t>
      </w:r>
      <w:proofErr w:type="spellStart"/>
      <w:r w:rsidRPr="00BC01CC">
        <w:rPr>
          <w:rFonts w:ascii="Arial" w:hAnsi="Arial" w:cs="Arial"/>
          <w:rtl/>
        </w:rPr>
        <w:t>كاهية</w:t>
      </w:r>
      <w:proofErr w:type="spellEnd"/>
      <w:r w:rsidRPr="00BC01CC">
        <w:rPr>
          <w:rFonts w:ascii="Arial" w:hAnsi="Arial" w:cs="Arial"/>
          <w:rtl/>
        </w:rPr>
        <w:t xml:space="preserve"> مدير بخطة وامتيازات </w:t>
      </w:r>
      <w:proofErr w:type="spellStart"/>
      <w:r w:rsidRPr="00BC01CC">
        <w:rPr>
          <w:rFonts w:ascii="Arial" w:hAnsi="Arial" w:cs="Arial"/>
          <w:rtl/>
        </w:rPr>
        <w:t>كاهية</w:t>
      </w:r>
      <w:proofErr w:type="spellEnd"/>
      <w:r w:rsidRPr="00BC01CC">
        <w:rPr>
          <w:rFonts w:ascii="Arial" w:hAnsi="Arial" w:cs="Arial"/>
          <w:rtl/>
        </w:rPr>
        <w:t xml:space="preserve"> مدير إدارة مركزية ورئيس مصلحة بخطة وامتيازات رئيس مصلحة إدارة مركزية</w:t>
      </w:r>
      <w:r w:rsidRPr="00BC01CC">
        <w:rPr>
          <w:rFonts w:ascii="Arial" w:hAnsi="Arial" w:cs="Arial"/>
        </w:rPr>
        <w:t>.</w:t>
      </w:r>
    </w:p>
    <w:p w14:paraId="5142454E" w14:textId="792323DC"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 xml:space="preserve">مدير وحدة تفعيل القرارات الأممية المرتبطة بمكافحة الإرهاب ومنع تمويله ومنع انتشار أسلحة الدمار الشامل، يساعده </w:t>
      </w:r>
      <w:proofErr w:type="spellStart"/>
      <w:r w:rsidRPr="00BC01CC">
        <w:rPr>
          <w:rFonts w:ascii="Arial" w:hAnsi="Arial" w:cs="Arial"/>
          <w:rtl/>
        </w:rPr>
        <w:t>كاهية</w:t>
      </w:r>
      <w:proofErr w:type="spellEnd"/>
      <w:r w:rsidRPr="00BC01CC">
        <w:rPr>
          <w:rFonts w:ascii="Arial" w:hAnsi="Arial" w:cs="Arial"/>
          <w:rtl/>
        </w:rPr>
        <w:t xml:space="preserve"> مدير بخطة وامتيازات </w:t>
      </w:r>
      <w:proofErr w:type="spellStart"/>
      <w:r w:rsidRPr="00BC01CC">
        <w:rPr>
          <w:rFonts w:ascii="Arial" w:hAnsi="Arial" w:cs="Arial"/>
          <w:rtl/>
        </w:rPr>
        <w:t>كاهية</w:t>
      </w:r>
      <w:proofErr w:type="spellEnd"/>
      <w:r w:rsidRPr="00BC01CC">
        <w:rPr>
          <w:rFonts w:ascii="Arial" w:hAnsi="Arial" w:cs="Arial"/>
          <w:rtl/>
        </w:rPr>
        <w:t xml:space="preserve"> مدير إدارة مركزية ورئيس مصلحة بخطة وامتيازات رئيس مصلحة إدارة مركزية</w:t>
      </w:r>
      <w:r w:rsidRPr="00BC01CC">
        <w:rPr>
          <w:rFonts w:ascii="Arial" w:hAnsi="Arial" w:cs="Arial"/>
        </w:rPr>
        <w:t>.</w:t>
      </w:r>
    </w:p>
    <w:p w14:paraId="4D7E32FE" w14:textId="200819CD"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 xml:space="preserve">مدير وحدة أنظمة المعلومات وتنسيق المساعدة لضحايا الإرهاب، يساعده </w:t>
      </w:r>
      <w:proofErr w:type="spellStart"/>
      <w:r w:rsidRPr="00BC01CC">
        <w:rPr>
          <w:rFonts w:ascii="Arial" w:hAnsi="Arial" w:cs="Arial"/>
          <w:rtl/>
        </w:rPr>
        <w:t>كاهيتي</w:t>
      </w:r>
      <w:proofErr w:type="spellEnd"/>
      <w:r w:rsidRPr="00BC01CC">
        <w:rPr>
          <w:rFonts w:ascii="Arial" w:hAnsi="Arial" w:cs="Arial"/>
          <w:rtl/>
        </w:rPr>
        <w:t xml:space="preserve"> مدير بخطة وامتيازات </w:t>
      </w:r>
      <w:proofErr w:type="spellStart"/>
      <w:r w:rsidRPr="00BC01CC">
        <w:rPr>
          <w:rFonts w:ascii="Arial" w:hAnsi="Arial" w:cs="Arial"/>
          <w:rtl/>
        </w:rPr>
        <w:t>كاهية</w:t>
      </w:r>
      <w:proofErr w:type="spellEnd"/>
      <w:r w:rsidRPr="00BC01CC">
        <w:rPr>
          <w:rFonts w:ascii="Arial" w:hAnsi="Arial" w:cs="Arial"/>
          <w:rtl/>
        </w:rPr>
        <w:t xml:space="preserve"> مدير إدارة مركزية ورئيسي مصلحة بخطة وامتيازات رئيس مصلحة إدارة مركزية</w:t>
      </w:r>
      <w:r w:rsidRPr="00BC01CC">
        <w:rPr>
          <w:rFonts w:ascii="Arial" w:hAnsi="Arial" w:cs="Arial"/>
        </w:rPr>
        <w:t>.</w:t>
      </w:r>
    </w:p>
    <w:p w14:paraId="5C4B6E35" w14:textId="0531CC86"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الفصل 8</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rtl/>
        </w:rPr>
        <w:t xml:space="preserve"> تكلف وحدة العلاقة مع المجتمع المدني والتعاون الدولي والتكوين بـ</w:t>
      </w:r>
      <w:r w:rsidRPr="00BC01CC">
        <w:rPr>
          <w:rFonts w:ascii="Arial" w:hAnsi="Arial" w:cs="Arial"/>
        </w:rPr>
        <w:t>:</w:t>
      </w:r>
    </w:p>
    <w:p w14:paraId="412407E8" w14:textId="627FD89E"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إعداد المقترحات بشأن آليات التعاون مع منظمات المجتمع المدني للمساعدة على تنفيذ برامجها</w:t>
      </w:r>
      <w:r w:rsidRPr="00BC01CC">
        <w:rPr>
          <w:rFonts w:ascii="Arial" w:hAnsi="Arial" w:cs="Arial"/>
        </w:rPr>
        <w:t>.</w:t>
      </w:r>
    </w:p>
    <w:p w14:paraId="790A3D2F" w14:textId="77777777" w:rsid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إعداد تصورات ومقترحات حول آليات وبرامج التعاون الدولي ومتابعة تنفيذها</w:t>
      </w:r>
      <w:r w:rsidRPr="00BC01CC">
        <w:rPr>
          <w:rFonts w:ascii="Arial" w:hAnsi="Arial" w:cs="Arial"/>
        </w:rPr>
        <w:t>.</w:t>
      </w:r>
    </w:p>
    <w:p w14:paraId="28364C99" w14:textId="504B6FBB"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المشاركة في إعداد الدراسات والبحوث ذات العلاقة بالتطرف العنيف والإرهاب أو تنسيقها</w:t>
      </w:r>
      <w:r w:rsidRPr="00BC01CC">
        <w:rPr>
          <w:rFonts w:ascii="Arial" w:hAnsi="Arial" w:cs="Arial"/>
        </w:rPr>
        <w:t>.</w:t>
      </w:r>
    </w:p>
    <w:p w14:paraId="2352B8AF" w14:textId="18DA35A1" w:rsidR="00BC01CC" w:rsidRPr="00BC01CC" w:rsidRDefault="00BC01CC" w:rsidP="00BC01CC">
      <w:pPr>
        <w:pStyle w:val="Paragraphedeliste"/>
        <w:numPr>
          <w:ilvl w:val="0"/>
          <w:numId w:val="42"/>
        </w:numPr>
        <w:bidi/>
        <w:spacing w:before="120" w:after="0" w:line="240" w:lineRule="auto"/>
        <w:ind w:left="927"/>
        <w:jc w:val="both"/>
        <w:rPr>
          <w:rFonts w:ascii="Arial" w:hAnsi="Arial" w:cs="Arial"/>
          <w:rtl/>
        </w:rPr>
      </w:pPr>
      <w:r w:rsidRPr="00BC01CC">
        <w:rPr>
          <w:rFonts w:ascii="Arial" w:hAnsi="Arial" w:cs="Arial"/>
          <w:rtl/>
        </w:rPr>
        <w:t>إعداد ورشات العمل والندوات والدورات التكوينية التي تنظمها اللجنة أو تساهم في تنظيمها</w:t>
      </w:r>
      <w:r w:rsidRPr="00BC01CC">
        <w:rPr>
          <w:rFonts w:ascii="Arial" w:hAnsi="Arial" w:cs="Arial"/>
        </w:rPr>
        <w:t>.</w:t>
      </w:r>
    </w:p>
    <w:p w14:paraId="0FFEBE8E" w14:textId="2BF3DA3B"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9 </w:t>
      </w:r>
      <w:r w:rsidRPr="00BC01CC">
        <w:rPr>
          <w:rFonts w:ascii="Arial" w:hAnsi="Arial" w:cs="Arial"/>
          <w:b/>
          <w:bCs/>
          <w:rtl/>
        </w:rPr>
        <w:t>–</w:t>
      </w:r>
      <w:r w:rsidRPr="00BC01CC">
        <w:rPr>
          <w:rFonts w:ascii="Arial" w:hAnsi="Arial" w:cs="Arial"/>
          <w:rtl/>
        </w:rPr>
        <w:t xml:space="preserve"> تكلف وحدة تفعيل القرارات الأممية المرتبطة بمكافحة الإرهاب ومنع تمويله ومنع انتشار أسلحة الدمار</w:t>
      </w:r>
      <w:r w:rsidRPr="00BC01CC">
        <w:rPr>
          <w:rFonts w:ascii="Arial" w:hAnsi="Arial" w:cs="Arial"/>
        </w:rPr>
        <w:t xml:space="preserve"> </w:t>
      </w:r>
      <w:r w:rsidRPr="00BC01CC">
        <w:rPr>
          <w:rFonts w:ascii="Arial" w:hAnsi="Arial" w:cs="Arial"/>
          <w:rtl/>
        </w:rPr>
        <w:t>الشامل بـ</w:t>
      </w:r>
      <w:r w:rsidRPr="00BC01CC">
        <w:rPr>
          <w:rFonts w:ascii="Arial" w:hAnsi="Arial" w:cs="Arial"/>
        </w:rPr>
        <w:t>:</w:t>
      </w:r>
    </w:p>
    <w:p w14:paraId="64519BBA" w14:textId="4507DC14" w:rsidR="00BC01CC" w:rsidRPr="00BC01CC" w:rsidRDefault="00BC01CC" w:rsidP="00BC01CC">
      <w:pPr>
        <w:pStyle w:val="Paragraphedeliste"/>
        <w:numPr>
          <w:ilvl w:val="0"/>
          <w:numId w:val="43"/>
        </w:numPr>
        <w:bidi/>
        <w:spacing w:before="120" w:after="0" w:line="240" w:lineRule="auto"/>
        <w:ind w:left="927"/>
        <w:jc w:val="both"/>
        <w:rPr>
          <w:rFonts w:ascii="Arial" w:hAnsi="Arial" w:cs="Arial"/>
          <w:rtl/>
        </w:rPr>
      </w:pPr>
      <w:r w:rsidRPr="00BC01CC">
        <w:rPr>
          <w:rFonts w:ascii="Arial" w:hAnsi="Arial" w:cs="Arial"/>
          <w:rtl/>
        </w:rPr>
        <w:t>إعداد القرارات التي تتخذها اللجنة تطبيقا لقرارات الهياكل الأممية المختصة المرتبطة بمكافحة الإرهاب ومنع تمويله ومنع تمويل انتشار أسلحة الدمار الشامل ومتابعة تنفيذها</w:t>
      </w:r>
      <w:r w:rsidRPr="00BC01CC">
        <w:rPr>
          <w:rFonts w:ascii="Arial" w:hAnsi="Arial" w:cs="Arial"/>
        </w:rPr>
        <w:t>.</w:t>
      </w:r>
    </w:p>
    <w:p w14:paraId="2CE5358F" w14:textId="5992D284" w:rsidR="00BC01CC" w:rsidRPr="00BC01CC" w:rsidRDefault="00BC01CC" w:rsidP="00BC01CC">
      <w:pPr>
        <w:pStyle w:val="Paragraphedeliste"/>
        <w:numPr>
          <w:ilvl w:val="0"/>
          <w:numId w:val="43"/>
        </w:numPr>
        <w:bidi/>
        <w:spacing w:before="120" w:after="0" w:line="240" w:lineRule="auto"/>
        <w:ind w:left="927"/>
        <w:jc w:val="both"/>
        <w:rPr>
          <w:rFonts w:ascii="Arial" w:hAnsi="Arial" w:cs="Arial"/>
          <w:rtl/>
        </w:rPr>
      </w:pPr>
      <w:r w:rsidRPr="00BC01CC">
        <w:rPr>
          <w:rFonts w:ascii="Arial" w:hAnsi="Arial" w:cs="Arial"/>
          <w:rtl/>
        </w:rPr>
        <w:t>جمع المعطيات والبيانات والإحصائيات المتعلقة بالقرارات الأممية المرتبطة بمكافحة الإرهاب</w:t>
      </w:r>
      <w:r w:rsidRPr="00BC01CC">
        <w:rPr>
          <w:rFonts w:ascii="Arial" w:hAnsi="Arial" w:cs="Arial"/>
        </w:rPr>
        <w:t>.</w:t>
      </w:r>
    </w:p>
    <w:p w14:paraId="0EF30E0F" w14:textId="3C1F47C0"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10 </w:t>
      </w:r>
      <w:r w:rsidRPr="00BC01CC">
        <w:rPr>
          <w:rFonts w:ascii="Arial" w:hAnsi="Arial" w:cs="Arial"/>
          <w:b/>
          <w:bCs/>
          <w:rtl/>
        </w:rPr>
        <w:t>–</w:t>
      </w:r>
      <w:r w:rsidRPr="00BC01CC">
        <w:rPr>
          <w:rFonts w:ascii="Arial" w:hAnsi="Arial" w:cs="Arial"/>
          <w:rtl/>
        </w:rPr>
        <w:t xml:space="preserve"> تكلف وحدة أنظمة المعلومات وتنسيق المساعدة لضحايا الإرهاب بـ</w:t>
      </w:r>
      <w:r w:rsidRPr="00BC01CC">
        <w:rPr>
          <w:rFonts w:ascii="Arial" w:hAnsi="Arial" w:cs="Arial"/>
        </w:rPr>
        <w:t>:</w:t>
      </w:r>
    </w:p>
    <w:p w14:paraId="4A511FC4" w14:textId="1710735C"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تركيز المنظومة المعلوماتية للجنة وصيانتها</w:t>
      </w:r>
      <w:r w:rsidRPr="00BC01CC">
        <w:rPr>
          <w:rFonts w:ascii="Arial" w:hAnsi="Arial" w:cs="Arial"/>
        </w:rPr>
        <w:t>.</w:t>
      </w:r>
    </w:p>
    <w:p w14:paraId="1CD13F46" w14:textId="6D264565"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متابعة وتحيين الموقع الخاص باللجنة والحرص على النشر الفوري ودون تأخير لقائمة الجزاءات الموحدة الصادرة عن الجهة الأممية المختصة والقائمة الوطنية للأشخاص والتنظيمات والكيانات المرتبطة بالجرائم الإرهابية</w:t>
      </w:r>
      <w:r w:rsidRPr="00BC01CC">
        <w:rPr>
          <w:rFonts w:ascii="Arial" w:hAnsi="Arial" w:cs="Arial"/>
        </w:rPr>
        <w:t>.</w:t>
      </w:r>
    </w:p>
    <w:p w14:paraId="0277E6B7" w14:textId="70411DA3"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 xml:space="preserve">جمع المعطيات والبيانات والإحصائيات ذات الصلة بمكافحة الإرهاب </w:t>
      </w:r>
      <w:proofErr w:type="spellStart"/>
      <w:r w:rsidRPr="00BC01CC">
        <w:rPr>
          <w:rFonts w:ascii="Arial" w:hAnsi="Arial" w:cs="Arial"/>
          <w:rtl/>
        </w:rPr>
        <w:t>والتوقي</w:t>
      </w:r>
      <w:proofErr w:type="spellEnd"/>
      <w:r w:rsidRPr="00BC01CC">
        <w:rPr>
          <w:rFonts w:ascii="Arial" w:hAnsi="Arial" w:cs="Arial"/>
          <w:rtl/>
        </w:rPr>
        <w:t xml:space="preserve"> منه والعمل على تحيينها</w:t>
      </w:r>
      <w:r w:rsidRPr="00BC01CC">
        <w:rPr>
          <w:rFonts w:ascii="Arial" w:hAnsi="Arial" w:cs="Arial"/>
        </w:rPr>
        <w:t>.</w:t>
      </w:r>
    </w:p>
    <w:p w14:paraId="7981C202" w14:textId="0D1AF06D"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حفظ أرشيف اللجنة ووثائقها والقوانين والتراتيب والدراسات والبحوث والوثائق ذات العلاقة بمجال نشاطها</w:t>
      </w:r>
      <w:r w:rsidRPr="00BC01CC">
        <w:rPr>
          <w:rFonts w:ascii="Arial" w:hAnsi="Arial" w:cs="Arial"/>
        </w:rPr>
        <w:t>.</w:t>
      </w:r>
    </w:p>
    <w:p w14:paraId="56352F24" w14:textId="5D8642F6"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تسجيل المراسلات والعرائض الموجهة إلى اللجنة بدفتر خاص بالواردات وتسجيل المراسلات الصادرة عنها بدفتر خاص بالصادرات</w:t>
      </w:r>
      <w:r w:rsidRPr="00BC01CC">
        <w:rPr>
          <w:rFonts w:ascii="Arial" w:hAnsi="Arial" w:cs="Arial"/>
        </w:rPr>
        <w:t>.</w:t>
      </w:r>
    </w:p>
    <w:p w14:paraId="2A48AF3F" w14:textId="02C3CE82" w:rsidR="00BC01CC" w:rsidRPr="00BC01CC" w:rsidRDefault="00BC01CC" w:rsidP="00BC01CC">
      <w:pPr>
        <w:pStyle w:val="Paragraphedeliste"/>
        <w:numPr>
          <w:ilvl w:val="0"/>
          <w:numId w:val="44"/>
        </w:numPr>
        <w:bidi/>
        <w:spacing w:before="120" w:after="0" w:line="240" w:lineRule="auto"/>
        <w:ind w:left="927"/>
        <w:jc w:val="both"/>
        <w:rPr>
          <w:rFonts w:ascii="Arial" w:hAnsi="Arial" w:cs="Arial"/>
          <w:rtl/>
        </w:rPr>
      </w:pPr>
      <w:r w:rsidRPr="00BC01CC">
        <w:rPr>
          <w:rFonts w:ascii="Arial" w:hAnsi="Arial" w:cs="Arial"/>
          <w:rtl/>
        </w:rPr>
        <w:t>التحضير لأعمال اللجنة بشأن آليات التنسيق ومتابعة تنفيذ الإجراءات المتعلقة بمساعدة ضحايا الإرهاب بين مختلف الهياكل الوطنية المختصة</w:t>
      </w:r>
      <w:r w:rsidRPr="00BC01CC">
        <w:rPr>
          <w:rFonts w:ascii="Arial" w:hAnsi="Arial" w:cs="Arial"/>
        </w:rPr>
        <w:t>.</w:t>
      </w:r>
    </w:p>
    <w:p w14:paraId="39F071D9" w14:textId="3EA337E2" w:rsidR="00BC01CC" w:rsidRPr="00BC01CC" w:rsidRDefault="00BC01CC" w:rsidP="00BC01CC">
      <w:pPr>
        <w:bidi/>
        <w:spacing w:before="120" w:after="0" w:line="240" w:lineRule="auto"/>
        <w:ind w:left="284"/>
        <w:jc w:val="center"/>
        <w:rPr>
          <w:rFonts w:ascii="Arial" w:hAnsi="Arial" w:cs="Arial"/>
          <w:b/>
          <w:bCs/>
          <w:rtl/>
        </w:rPr>
      </w:pPr>
      <w:r w:rsidRPr="00BC01CC">
        <w:rPr>
          <w:rFonts w:ascii="Arial" w:hAnsi="Arial" w:cs="Arial"/>
          <w:b/>
          <w:bCs/>
          <w:rtl/>
        </w:rPr>
        <w:t>الباب الثاني</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hint="cs"/>
          <w:b/>
          <w:bCs/>
          <w:rtl/>
        </w:rPr>
        <w:t xml:space="preserve"> </w:t>
      </w:r>
      <w:r w:rsidRPr="00BC01CC">
        <w:rPr>
          <w:rFonts w:ascii="Arial" w:hAnsi="Arial" w:cs="Arial"/>
          <w:b/>
          <w:bCs/>
          <w:rtl/>
        </w:rPr>
        <w:t>طرق سير اللّجنة</w:t>
      </w:r>
    </w:p>
    <w:p w14:paraId="584C5E7C" w14:textId="72C7C13E"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الفصل 11</w:t>
      </w:r>
      <w:r w:rsidRPr="00BC01CC">
        <w:rPr>
          <w:rFonts w:ascii="Arial" w:hAnsi="Arial" w:cs="Arial" w:hint="cs"/>
          <w:b/>
          <w:bCs/>
          <w:rtl/>
        </w:rPr>
        <w:t xml:space="preserve"> </w:t>
      </w:r>
      <w:r w:rsidRPr="00BC01CC">
        <w:rPr>
          <w:rFonts w:ascii="Arial" w:hAnsi="Arial" w:cs="Arial"/>
          <w:b/>
          <w:bCs/>
          <w:rtl/>
        </w:rPr>
        <w:t>–</w:t>
      </w:r>
      <w:r>
        <w:rPr>
          <w:rFonts w:ascii="Arial" w:hAnsi="Arial" w:cs="Arial" w:hint="cs"/>
          <w:rtl/>
        </w:rPr>
        <w:t xml:space="preserve"> </w:t>
      </w:r>
      <w:r w:rsidRPr="00BC01CC">
        <w:rPr>
          <w:rFonts w:ascii="Arial" w:hAnsi="Arial" w:cs="Arial"/>
          <w:rtl/>
        </w:rPr>
        <w:t>تجتمع اللجنة بدعوة من رئيسها أو نائبه مرة في الشهر على الأقل وكلما دعت الحاجة إلى ذلك</w:t>
      </w:r>
      <w:r w:rsidRPr="00BC01CC">
        <w:rPr>
          <w:rFonts w:ascii="Arial" w:hAnsi="Arial" w:cs="Arial"/>
        </w:rPr>
        <w:t>.</w:t>
      </w:r>
    </w:p>
    <w:p w14:paraId="763E4629"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توجه الدعوة إلى أعضاء اللجنة قبل تاريخ انعقاد الاجتماع بثلاثة أيام على الأقل وتكون مرفقة بجدول الأعمال</w:t>
      </w:r>
      <w:r w:rsidRPr="00BC01CC">
        <w:rPr>
          <w:rFonts w:ascii="Arial" w:hAnsi="Arial" w:cs="Arial"/>
        </w:rPr>
        <w:t>.</w:t>
      </w:r>
    </w:p>
    <w:p w14:paraId="52F6592D" w14:textId="1D0C8CFA"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12 </w:t>
      </w:r>
      <w:r w:rsidRPr="00BC01CC">
        <w:rPr>
          <w:rFonts w:ascii="Arial" w:hAnsi="Arial" w:cs="Arial"/>
          <w:b/>
          <w:bCs/>
          <w:rtl/>
        </w:rPr>
        <w:t>–</w:t>
      </w:r>
      <w:r w:rsidRPr="00BC01CC">
        <w:rPr>
          <w:rFonts w:ascii="Arial" w:hAnsi="Arial" w:cs="Arial"/>
          <w:rtl/>
        </w:rPr>
        <w:t xml:space="preserve"> لا تكون اجتماعات اللجنة قانونية إلا بحضور أغلبية أعضائها، على أن يكون من بينهم رئيسها أو نائبه. في صورة عدم توفر النصاب في الجلسة الأولى يتم استدعاء الأعضاء إلى جلسة ثانية تعقد في أجل ثمانية أيام عمل مهما كان عدد الأعضاء الحاضرين</w:t>
      </w:r>
      <w:r w:rsidRPr="00BC01CC">
        <w:rPr>
          <w:rFonts w:ascii="Arial" w:hAnsi="Arial" w:cs="Arial"/>
        </w:rPr>
        <w:t>.</w:t>
      </w:r>
    </w:p>
    <w:p w14:paraId="44DD30DC"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يدوّن عدم توفر النصاب صلب محضر الجلسة الذي يتم إمضاؤه من قبل رئيس اللجنة أو نائبه والأعضاء الحاضرين</w:t>
      </w:r>
      <w:r w:rsidRPr="00BC01CC">
        <w:rPr>
          <w:rFonts w:ascii="Arial" w:hAnsi="Arial" w:cs="Arial"/>
        </w:rPr>
        <w:t>.</w:t>
      </w:r>
    </w:p>
    <w:p w14:paraId="73E19F2D" w14:textId="3ECD8CDE"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13 </w:t>
      </w:r>
      <w:r w:rsidRPr="00BC01CC">
        <w:rPr>
          <w:rFonts w:ascii="Arial" w:hAnsi="Arial" w:cs="Arial"/>
          <w:b/>
          <w:bCs/>
          <w:rtl/>
        </w:rPr>
        <w:t>–</w:t>
      </w:r>
      <w:r w:rsidRPr="00BC01CC">
        <w:rPr>
          <w:rFonts w:ascii="Arial" w:hAnsi="Arial" w:cs="Arial"/>
          <w:rtl/>
        </w:rPr>
        <w:t xml:space="preserve"> تتخذ القرارات بأغلبية أصوات الأعضاء الحاضرين وفي صورة تساوي الأصوات يرجح صوت رئيس الجلسة</w:t>
      </w:r>
      <w:r w:rsidRPr="00BC01CC">
        <w:rPr>
          <w:rFonts w:ascii="Arial" w:hAnsi="Arial" w:cs="Arial"/>
        </w:rPr>
        <w:t>.</w:t>
      </w:r>
    </w:p>
    <w:p w14:paraId="0D056740" w14:textId="77777777"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rtl/>
        </w:rPr>
        <w:t>لا يحضر عملية التصويت الأشخاص الذين تتم دعوتهم لاجتماعات اللجنة عملا بأحكام الفقرة الثالثة من الفصل 67 من القانون عدد 26 لسنة 2015 المشار إليه أعلاه</w:t>
      </w:r>
      <w:r w:rsidRPr="00BC01CC">
        <w:rPr>
          <w:rFonts w:ascii="Arial" w:hAnsi="Arial" w:cs="Arial"/>
        </w:rPr>
        <w:t>.</w:t>
      </w:r>
    </w:p>
    <w:p w14:paraId="536EF0BF" w14:textId="0154EA60"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الفصل 14</w:t>
      </w:r>
      <w:r w:rsidRPr="00BC01CC">
        <w:rPr>
          <w:rFonts w:ascii="Arial" w:hAnsi="Arial" w:cs="Arial" w:hint="cs"/>
          <w:b/>
          <w:bCs/>
          <w:rtl/>
        </w:rPr>
        <w:t xml:space="preserve"> </w:t>
      </w:r>
      <w:r w:rsidRPr="00BC01CC">
        <w:rPr>
          <w:rFonts w:ascii="Arial" w:hAnsi="Arial" w:cs="Arial"/>
          <w:b/>
          <w:bCs/>
          <w:rtl/>
        </w:rPr>
        <w:t>–</w:t>
      </w:r>
      <w:r>
        <w:rPr>
          <w:rFonts w:ascii="Arial" w:hAnsi="Arial" w:cs="Arial" w:hint="cs"/>
          <w:rtl/>
        </w:rPr>
        <w:t xml:space="preserve"> </w:t>
      </w:r>
      <w:r w:rsidRPr="00BC01CC">
        <w:rPr>
          <w:rFonts w:ascii="Arial" w:hAnsi="Arial" w:cs="Arial"/>
          <w:rtl/>
        </w:rPr>
        <w:t>تدون أعمال اللجنة بمحاضر جلسات يتم إمضاؤها من قبل رئيس اللجنة أو نائبه وتتم إحالة نسخ منها إلى الوزارات والهياكل الممثلة فيها</w:t>
      </w:r>
      <w:r w:rsidRPr="00BC01CC">
        <w:rPr>
          <w:rFonts w:ascii="Arial" w:hAnsi="Arial" w:cs="Arial"/>
        </w:rPr>
        <w:t xml:space="preserve">. </w:t>
      </w:r>
    </w:p>
    <w:p w14:paraId="1B5B3CC1" w14:textId="7DC415E5"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15</w:t>
      </w:r>
      <w:r>
        <w:rPr>
          <w:rFonts w:ascii="Arial" w:hAnsi="Arial" w:cs="Arial" w:hint="cs"/>
          <w:rtl/>
        </w:rPr>
        <w:t xml:space="preserve"> </w:t>
      </w:r>
      <w:r>
        <w:rPr>
          <w:rFonts w:ascii="Arial" w:hAnsi="Arial" w:cs="Arial"/>
          <w:rtl/>
        </w:rPr>
        <w:t>–</w:t>
      </w:r>
      <w:r w:rsidRPr="00BC01CC">
        <w:rPr>
          <w:rFonts w:ascii="Arial" w:hAnsi="Arial" w:cs="Arial"/>
          <w:rtl/>
        </w:rPr>
        <w:t xml:space="preserve"> في صورة غياب أحد أعضاء اللجنة لمدة ثلاثة (3) جلسات متتالية أو لمدة ستة (6) جلسات غير متتالية دون عذر شرعي، يعتبر متخليا ويتم تعويضه بالنسبة إلى المدة المتبقية من عضويته</w:t>
      </w:r>
      <w:r w:rsidRPr="00BC01CC">
        <w:rPr>
          <w:rFonts w:ascii="Arial" w:hAnsi="Arial" w:cs="Arial"/>
        </w:rPr>
        <w:t>.</w:t>
      </w:r>
    </w:p>
    <w:p w14:paraId="19FD6EC0" w14:textId="2C820CD0" w:rsidR="00BC01CC" w:rsidRPr="00BC01CC" w:rsidRDefault="00BC01CC" w:rsidP="00BC01CC">
      <w:pPr>
        <w:bidi/>
        <w:spacing w:before="120" w:after="0" w:line="240" w:lineRule="auto"/>
        <w:ind w:left="284"/>
        <w:jc w:val="center"/>
        <w:rPr>
          <w:rFonts w:ascii="Arial" w:hAnsi="Arial" w:cs="Arial"/>
          <w:b/>
          <w:bCs/>
          <w:rtl/>
        </w:rPr>
      </w:pPr>
      <w:r w:rsidRPr="00BC01CC">
        <w:rPr>
          <w:rFonts w:ascii="Arial" w:hAnsi="Arial" w:cs="Arial"/>
          <w:b/>
          <w:bCs/>
          <w:rtl/>
        </w:rPr>
        <w:t>الباب الثالث</w:t>
      </w:r>
      <w:r w:rsidRPr="00BC01CC">
        <w:rPr>
          <w:rFonts w:ascii="Arial" w:hAnsi="Arial" w:cs="Arial" w:hint="cs"/>
          <w:b/>
          <w:bCs/>
          <w:rtl/>
        </w:rPr>
        <w:t xml:space="preserve"> </w:t>
      </w:r>
      <w:r w:rsidRPr="00BC01CC">
        <w:rPr>
          <w:rFonts w:ascii="Arial" w:hAnsi="Arial" w:cs="Arial"/>
          <w:b/>
          <w:bCs/>
          <w:rtl/>
        </w:rPr>
        <w:t>–</w:t>
      </w:r>
      <w:r w:rsidRPr="00BC01CC">
        <w:rPr>
          <w:rFonts w:ascii="Arial" w:hAnsi="Arial" w:cs="Arial" w:hint="cs"/>
          <w:b/>
          <w:bCs/>
          <w:rtl/>
        </w:rPr>
        <w:t xml:space="preserve"> </w:t>
      </w:r>
      <w:r w:rsidRPr="00BC01CC">
        <w:rPr>
          <w:rFonts w:ascii="Arial" w:hAnsi="Arial" w:cs="Arial"/>
          <w:b/>
          <w:bCs/>
          <w:rtl/>
        </w:rPr>
        <w:t>أحكام انتقالية وختامية</w:t>
      </w:r>
    </w:p>
    <w:p w14:paraId="2A8E7C0A" w14:textId="77777777" w:rsidR="00BC01CC" w:rsidRPr="00BC01CC" w:rsidRDefault="00BC01CC" w:rsidP="00BC01CC">
      <w:pPr>
        <w:bidi/>
        <w:spacing w:before="120" w:after="0" w:line="240" w:lineRule="auto"/>
        <w:ind w:left="284"/>
        <w:jc w:val="both"/>
        <w:rPr>
          <w:rFonts w:ascii="Arial" w:hAnsi="Arial" w:cs="Arial"/>
          <w:rtl/>
        </w:rPr>
      </w:pPr>
    </w:p>
    <w:p w14:paraId="37395FA1" w14:textId="47F93075"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 xml:space="preserve">الفصل </w:t>
      </w:r>
      <w:r w:rsidRPr="00BC01CC">
        <w:rPr>
          <w:rFonts w:ascii="Arial" w:hAnsi="Arial" w:cs="Arial" w:hint="cs"/>
          <w:b/>
          <w:bCs/>
          <w:rtl/>
        </w:rPr>
        <w:t xml:space="preserve">16 </w:t>
      </w:r>
      <w:r w:rsidRPr="00BC01CC">
        <w:rPr>
          <w:rFonts w:ascii="Arial" w:hAnsi="Arial" w:cs="Arial"/>
          <w:b/>
          <w:bCs/>
          <w:rtl/>
        </w:rPr>
        <w:t>–</w:t>
      </w:r>
      <w:r w:rsidRPr="00BC01CC">
        <w:rPr>
          <w:rFonts w:ascii="Arial" w:hAnsi="Arial" w:cs="Arial"/>
          <w:rtl/>
        </w:rPr>
        <w:t xml:space="preserve"> تلغى أحكام </w:t>
      </w:r>
      <w:hyperlink r:id="rId8" w:history="1">
        <w:r w:rsidRPr="00324B9A">
          <w:rPr>
            <w:rStyle w:val="Lienhypertexte"/>
            <w:rFonts w:ascii="Arial" w:hAnsi="Arial" w:cs="Arial" w:hint="cs"/>
            <w:rtl/>
          </w:rPr>
          <w:t>الأمر</w:t>
        </w:r>
        <w:r w:rsidRPr="00324B9A">
          <w:rPr>
            <w:rStyle w:val="Lienhypertexte"/>
            <w:rFonts w:ascii="Arial" w:hAnsi="Arial" w:cs="Arial"/>
            <w:rtl/>
          </w:rPr>
          <w:t xml:space="preserve"> </w:t>
        </w:r>
        <w:r w:rsidRPr="00324B9A">
          <w:rPr>
            <w:rStyle w:val="Lienhypertexte"/>
            <w:rFonts w:ascii="Arial" w:hAnsi="Arial" w:cs="Arial" w:hint="cs"/>
            <w:rtl/>
          </w:rPr>
          <w:t>الحكومي</w:t>
        </w:r>
        <w:r w:rsidRPr="00324B9A">
          <w:rPr>
            <w:rStyle w:val="Lienhypertexte"/>
            <w:rFonts w:ascii="Arial" w:hAnsi="Arial" w:cs="Arial"/>
            <w:rtl/>
          </w:rPr>
          <w:t xml:space="preserve"> </w:t>
        </w:r>
        <w:r w:rsidRPr="00324B9A">
          <w:rPr>
            <w:rStyle w:val="Lienhypertexte"/>
            <w:rFonts w:ascii="Arial" w:hAnsi="Arial" w:cs="Arial" w:hint="cs"/>
            <w:rtl/>
          </w:rPr>
          <w:t>عدد</w:t>
        </w:r>
        <w:r w:rsidRPr="00324B9A">
          <w:rPr>
            <w:rStyle w:val="Lienhypertexte"/>
            <w:rFonts w:ascii="Arial" w:hAnsi="Arial" w:cs="Arial"/>
            <w:rtl/>
          </w:rPr>
          <w:t xml:space="preserve"> 1777 </w:t>
        </w:r>
        <w:r w:rsidRPr="00324B9A">
          <w:rPr>
            <w:rStyle w:val="Lienhypertexte"/>
            <w:rFonts w:ascii="Arial" w:hAnsi="Arial" w:cs="Arial" w:hint="cs"/>
            <w:rtl/>
          </w:rPr>
          <w:t>لسنة</w:t>
        </w:r>
        <w:r w:rsidRPr="00324B9A">
          <w:rPr>
            <w:rStyle w:val="Lienhypertexte"/>
            <w:rFonts w:ascii="Arial" w:hAnsi="Arial" w:cs="Arial"/>
            <w:rtl/>
          </w:rPr>
          <w:t xml:space="preserve"> 2015 </w:t>
        </w:r>
        <w:r w:rsidRPr="00324B9A">
          <w:rPr>
            <w:rStyle w:val="Lienhypertexte"/>
            <w:rFonts w:ascii="Arial" w:hAnsi="Arial" w:cs="Arial" w:hint="cs"/>
            <w:rtl/>
          </w:rPr>
          <w:t>المؤرخ</w:t>
        </w:r>
        <w:r w:rsidRPr="00324B9A">
          <w:rPr>
            <w:rStyle w:val="Lienhypertexte"/>
            <w:rFonts w:ascii="Arial" w:hAnsi="Arial" w:cs="Arial"/>
            <w:rtl/>
          </w:rPr>
          <w:t xml:space="preserve"> </w:t>
        </w:r>
        <w:r w:rsidRPr="00324B9A">
          <w:rPr>
            <w:rStyle w:val="Lienhypertexte"/>
            <w:rFonts w:ascii="Arial" w:hAnsi="Arial" w:cs="Arial" w:hint="cs"/>
            <w:rtl/>
          </w:rPr>
          <w:t>في</w:t>
        </w:r>
        <w:r w:rsidRPr="00324B9A">
          <w:rPr>
            <w:rStyle w:val="Lienhypertexte"/>
            <w:rFonts w:ascii="Arial" w:hAnsi="Arial" w:cs="Arial"/>
            <w:rtl/>
          </w:rPr>
          <w:t xml:space="preserve"> 25 </w:t>
        </w:r>
        <w:r w:rsidRPr="00324B9A">
          <w:rPr>
            <w:rStyle w:val="Lienhypertexte"/>
            <w:rFonts w:ascii="Arial" w:hAnsi="Arial" w:cs="Arial" w:hint="cs"/>
            <w:rtl/>
          </w:rPr>
          <w:t>نوفمبر</w:t>
        </w:r>
        <w:r w:rsidRPr="00324B9A">
          <w:rPr>
            <w:rStyle w:val="Lienhypertexte"/>
            <w:rFonts w:ascii="Arial" w:hAnsi="Arial" w:cs="Arial"/>
            <w:rtl/>
          </w:rPr>
          <w:t xml:space="preserve"> 2015 </w:t>
        </w:r>
        <w:r w:rsidRPr="00324B9A">
          <w:rPr>
            <w:rStyle w:val="Lienhypertexte"/>
            <w:rFonts w:ascii="Arial" w:hAnsi="Arial" w:cs="Arial" w:hint="cs"/>
            <w:rtl/>
          </w:rPr>
          <w:t>المتعلق</w:t>
        </w:r>
        <w:r w:rsidRPr="00324B9A">
          <w:rPr>
            <w:rStyle w:val="Lienhypertexte"/>
            <w:rFonts w:ascii="Arial" w:hAnsi="Arial" w:cs="Arial"/>
            <w:rtl/>
          </w:rPr>
          <w:t xml:space="preserve"> </w:t>
        </w:r>
        <w:r w:rsidRPr="00324B9A">
          <w:rPr>
            <w:rStyle w:val="Lienhypertexte"/>
            <w:rFonts w:ascii="Arial" w:hAnsi="Arial" w:cs="Arial" w:hint="cs"/>
            <w:rtl/>
          </w:rPr>
          <w:t>بضبط</w:t>
        </w:r>
        <w:r w:rsidRPr="00324B9A">
          <w:rPr>
            <w:rStyle w:val="Lienhypertexte"/>
            <w:rFonts w:ascii="Arial" w:hAnsi="Arial" w:cs="Arial"/>
            <w:rtl/>
          </w:rPr>
          <w:t xml:space="preserve"> </w:t>
        </w:r>
        <w:r w:rsidRPr="00324B9A">
          <w:rPr>
            <w:rStyle w:val="Lienhypertexte"/>
            <w:rFonts w:ascii="Arial" w:hAnsi="Arial" w:cs="Arial" w:hint="cs"/>
            <w:rtl/>
          </w:rPr>
          <w:t>تنظيم</w:t>
        </w:r>
        <w:r w:rsidRPr="00324B9A">
          <w:rPr>
            <w:rStyle w:val="Lienhypertexte"/>
            <w:rFonts w:ascii="Arial" w:hAnsi="Arial" w:cs="Arial"/>
            <w:rtl/>
          </w:rPr>
          <w:t xml:space="preserve"> </w:t>
        </w:r>
        <w:r w:rsidRPr="00324B9A">
          <w:rPr>
            <w:rStyle w:val="Lienhypertexte"/>
            <w:rFonts w:ascii="Arial" w:hAnsi="Arial" w:cs="Arial" w:hint="cs"/>
            <w:rtl/>
          </w:rPr>
          <w:t>اللجنة</w:t>
        </w:r>
        <w:r w:rsidRPr="00324B9A">
          <w:rPr>
            <w:rStyle w:val="Lienhypertexte"/>
            <w:rFonts w:ascii="Arial" w:hAnsi="Arial" w:cs="Arial"/>
            <w:rtl/>
          </w:rPr>
          <w:t xml:space="preserve"> </w:t>
        </w:r>
        <w:r w:rsidRPr="00324B9A">
          <w:rPr>
            <w:rStyle w:val="Lienhypertexte"/>
            <w:rFonts w:ascii="Arial" w:hAnsi="Arial" w:cs="Arial" w:hint="cs"/>
            <w:rtl/>
          </w:rPr>
          <w:t>الوطنية</w:t>
        </w:r>
        <w:r w:rsidRPr="00324B9A">
          <w:rPr>
            <w:rStyle w:val="Lienhypertexte"/>
            <w:rFonts w:ascii="Arial" w:hAnsi="Arial" w:cs="Arial"/>
            <w:rtl/>
          </w:rPr>
          <w:t xml:space="preserve"> </w:t>
        </w:r>
        <w:r w:rsidRPr="00324B9A">
          <w:rPr>
            <w:rStyle w:val="Lienhypertexte"/>
            <w:rFonts w:ascii="Arial" w:hAnsi="Arial" w:cs="Arial" w:hint="cs"/>
            <w:rtl/>
          </w:rPr>
          <w:t>لمكافحة</w:t>
        </w:r>
        <w:r w:rsidRPr="00324B9A">
          <w:rPr>
            <w:rStyle w:val="Lienhypertexte"/>
            <w:rFonts w:ascii="Arial" w:hAnsi="Arial" w:cs="Arial"/>
            <w:rtl/>
          </w:rPr>
          <w:t xml:space="preserve"> </w:t>
        </w:r>
        <w:r w:rsidRPr="00324B9A">
          <w:rPr>
            <w:rStyle w:val="Lienhypertexte"/>
            <w:rFonts w:ascii="Arial" w:hAnsi="Arial" w:cs="Arial" w:hint="cs"/>
            <w:rtl/>
          </w:rPr>
          <w:t>الإرهاب</w:t>
        </w:r>
        <w:r w:rsidRPr="00324B9A">
          <w:rPr>
            <w:rStyle w:val="Lienhypertexte"/>
            <w:rFonts w:ascii="Arial" w:hAnsi="Arial" w:cs="Arial"/>
            <w:rtl/>
          </w:rPr>
          <w:t xml:space="preserve"> </w:t>
        </w:r>
        <w:r w:rsidRPr="00324B9A">
          <w:rPr>
            <w:rStyle w:val="Lienhypertexte"/>
            <w:rFonts w:ascii="Arial" w:hAnsi="Arial" w:cs="Arial" w:hint="cs"/>
            <w:rtl/>
          </w:rPr>
          <w:t>وطرق</w:t>
        </w:r>
        <w:r w:rsidRPr="00324B9A">
          <w:rPr>
            <w:rStyle w:val="Lienhypertexte"/>
            <w:rFonts w:ascii="Arial" w:hAnsi="Arial" w:cs="Arial"/>
            <w:rtl/>
          </w:rPr>
          <w:t xml:space="preserve"> </w:t>
        </w:r>
        <w:r w:rsidRPr="00324B9A">
          <w:rPr>
            <w:rStyle w:val="Lienhypertexte"/>
            <w:rFonts w:ascii="Arial" w:hAnsi="Arial" w:cs="Arial" w:hint="cs"/>
            <w:rtl/>
          </w:rPr>
          <w:t>سيرها</w:t>
        </w:r>
      </w:hyperlink>
      <w:r w:rsidRPr="00BC01CC">
        <w:rPr>
          <w:rFonts w:ascii="Arial" w:hAnsi="Arial" w:cs="Arial"/>
          <w:rtl/>
        </w:rPr>
        <w:t xml:space="preserve"> باستثناء الفصل 5 منه</w:t>
      </w:r>
      <w:r w:rsidRPr="00BC01CC">
        <w:rPr>
          <w:rFonts w:ascii="Arial" w:hAnsi="Arial" w:cs="Arial"/>
        </w:rPr>
        <w:t>.</w:t>
      </w:r>
    </w:p>
    <w:p w14:paraId="0AA24A69" w14:textId="3289C03D" w:rsidR="00BC01CC" w:rsidRPr="00BC01CC" w:rsidRDefault="00BC01CC" w:rsidP="00BC01CC">
      <w:pPr>
        <w:bidi/>
        <w:spacing w:before="120" w:after="0" w:line="240" w:lineRule="auto"/>
        <w:ind w:left="284"/>
        <w:jc w:val="both"/>
        <w:rPr>
          <w:rFonts w:ascii="Arial" w:hAnsi="Arial" w:cs="Arial"/>
          <w:rtl/>
        </w:rPr>
      </w:pPr>
      <w:r w:rsidRPr="00BC01CC">
        <w:rPr>
          <w:rFonts w:ascii="Arial" w:hAnsi="Arial" w:cs="Arial"/>
          <w:b/>
          <w:bCs/>
          <w:rtl/>
        </w:rPr>
        <w:t>الفصل 17</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BC01CC">
        <w:rPr>
          <w:rFonts w:ascii="Arial" w:hAnsi="Arial" w:cs="Arial"/>
          <w:rtl/>
        </w:rPr>
        <w:t>ينشر هذا الأمر الحكومي بالرائد الرسمي للجمهورية التونسية</w:t>
      </w:r>
      <w:r w:rsidRPr="00BC01CC">
        <w:rPr>
          <w:rFonts w:ascii="Arial" w:hAnsi="Arial" w:cs="Arial"/>
        </w:rPr>
        <w:t>.</w:t>
      </w:r>
    </w:p>
    <w:p w14:paraId="4E72DE49" w14:textId="4DC840EC" w:rsidR="00094E16" w:rsidRPr="00BC01CC" w:rsidRDefault="00094E16" w:rsidP="00BC01CC">
      <w:pPr>
        <w:bidi/>
        <w:spacing w:before="120" w:after="0" w:line="240" w:lineRule="auto"/>
        <w:ind w:left="284"/>
        <w:jc w:val="both"/>
        <w:rPr>
          <w:rFonts w:ascii="Arial" w:hAnsi="Arial" w:cs="Arial"/>
          <w:rtl/>
        </w:rPr>
      </w:pPr>
      <w:bookmarkStart w:id="0" w:name="_GoBack"/>
      <w:bookmarkEnd w:id="0"/>
    </w:p>
    <w:sectPr w:rsidR="00094E16" w:rsidRPr="00BC01CC"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F997" w14:textId="77777777" w:rsidR="001758E2" w:rsidRDefault="001758E2" w:rsidP="008F3F2D">
      <w:r>
        <w:separator/>
      </w:r>
    </w:p>
  </w:endnote>
  <w:endnote w:type="continuationSeparator" w:id="0">
    <w:p w14:paraId="4B4FE497" w14:textId="77777777" w:rsidR="001758E2" w:rsidRDefault="001758E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CA59" w14:textId="77777777" w:rsidR="001758E2" w:rsidRDefault="001758E2" w:rsidP="00696990">
      <w:pPr>
        <w:bidi/>
        <w:jc w:val="both"/>
      </w:pPr>
      <w:r>
        <w:separator/>
      </w:r>
    </w:p>
  </w:footnote>
  <w:footnote w:type="continuationSeparator" w:id="0">
    <w:p w14:paraId="64EFEEE3" w14:textId="77777777" w:rsidR="001758E2" w:rsidRDefault="001758E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BB61DE1"/>
    <w:multiLevelType w:val="hybridMultilevel"/>
    <w:tmpl w:val="DA5CBA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53A354D"/>
    <w:multiLevelType w:val="hybridMultilevel"/>
    <w:tmpl w:val="3858D1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E4F1F0D"/>
    <w:multiLevelType w:val="hybridMultilevel"/>
    <w:tmpl w:val="DB8E778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0A236F6"/>
    <w:multiLevelType w:val="hybridMultilevel"/>
    <w:tmpl w:val="8F48539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BF545C2"/>
    <w:multiLevelType w:val="hybridMultilevel"/>
    <w:tmpl w:val="A828A34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3"/>
  </w:num>
  <w:num w:numId="2">
    <w:abstractNumId w:val="29"/>
  </w:num>
  <w:num w:numId="3">
    <w:abstractNumId w:val="16"/>
  </w:num>
  <w:num w:numId="4">
    <w:abstractNumId w:val="13"/>
  </w:num>
  <w:num w:numId="5">
    <w:abstractNumId w:val="22"/>
  </w:num>
  <w:num w:numId="6">
    <w:abstractNumId w:val="31"/>
  </w:num>
  <w:num w:numId="7">
    <w:abstractNumId w:val="23"/>
  </w:num>
  <w:num w:numId="8">
    <w:abstractNumId w:val="2"/>
  </w:num>
  <w:num w:numId="9">
    <w:abstractNumId w:val="0"/>
  </w:num>
  <w:num w:numId="10">
    <w:abstractNumId w:val="26"/>
  </w:num>
  <w:num w:numId="11">
    <w:abstractNumId w:val="6"/>
  </w:num>
  <w:num w:numId="12">
    <w:abstractNumId w:val="25"/>
  </w:num>
  <w:num w:numId="13">
    <w:abstractNumId w:val="20"/>
  </w:num>
  <w:num w:numId="14">
    <w:abstractNumId w:val="36"/>
  </w:num>
  <w:num w:numId="15">
    <w:abstractNumId w:val="4"/>
  </w:num>
  <w:num w:numId="16">
    <w:abstractNumId w:val="18"/>
  </w:num>
  <w:num w:numId="17">
    <w:abstractNumId w:val="30"/>
  </w:num>
  <w:num w:numId="18">
    <w:abstractNumId w:val="28"/>
  </w:num>
  <w:num w:numId="19">
    <w:abstractNumId w:val="14"/>
  </w:num>
  <w:num w:numId="20">
    <w:abstractNumId w:val="1"/>
  </w:num>
  <w:num w:numId="21">
    <w:abstractNumId w:val="43"/>
  </w:num>
  <w:num w:numId="22">
    <w:abstractNumId w:val="8"/>
  </w:num>
  <w:num w:numId="23">
    <w:abstractNumId w:val="24"/>
  </w:num>
  <w:num w:numId="24">
    <w:abstractNumId w:val="21"/>
  </w:num>
  <w:num w:numId="25">
    <w:abstractNumId w:val="27"/>
  </w:num>
  <w:num w:numId="26">
    <w:abstractNumId w:val="17"/>
  </w:num>
  <w:num w:numId="27">
    <w:abstractNumId w:val="19"/>
  </w:num>
  <w:num w:numId="28">
    <w:abstractNumId w:val="39"/>
  </w:num>
  <w:num w:numId="29">
    <w:abstractNumId w:val="7"/>
  </w:num>
  <w:num w:numId="30">
    <w:abstractNumId w:val="38"/>
  </w:num>
  <w:num w:numId="31">
    <w:abstractNumId w:val="15"/>
  </w:num>
  <w:num w:numId="32">
    <w:abstractNumId w:val="34"/>
  </w:num>
  <w:num w:numId="33">
    <w:abstractNumId w:val="3"/>
  </w:num>
  <w:num w:numId="34">
    <w:abstractNumId w:val="5"/>
  </w:num>
  <w:num w:numId="35">
    <w:abstractNumId w:val="10"/>
  </w:num>
  <w:num w:numId="36">
    <w:abstractNumId w:val="41"/>
  </w:num>
  <w:num w:numId="37">
    <w:abstractNumId w:val="40"/>
  </w:num>
  <w:num w:numId="38">
    <w:abstractNumId w:val="32"/>
  </w:num>
  <w:num w:numId="39">
    <w:abstractNumId w:val="12"/>
  </w:num>
  <w:num w:numId="40">
    <w:abstractNumId w:val="35"/>
  </w:num>
  <w:num w:numId="41">
    <w:abstractNumId w:val="9"/>
  </w:num>
  <w:num w:numId="42">
    <w:abstractNumId w:val="42"/>
  </w:num>
  <w:num w:numId="43">
    <w:abstractNumId w:val="37"/>
  </w:num>
  <w:num w:numId="44">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758E2"/>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24B9A"/>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C01CC"/>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54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5AEA-3A72-4E48-B11A-93B61E81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3</cp:revision>
  <cp:lastPrinted>2019-06-25T11:01:00Z</cp:lastPrinted>
  <dcterms:created xsi:type="dcterms:W3CDTF">2019-06-25T11:01:00Z</dcterms:created>
  <dcterms:modified xsi:type="dcterms:W3CDTF">2019-06-25T11:03:00Z</dcterms:modified>
</cp:coreProperties>
</file>